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93785" w14:textId="77777777" w:rsidR="008E44FF" w:rsidRPr="0036229A" w:rsidRDefault="00FF02ED" w:rsidP="008E44FF">
      <w:pPr>
        <w:rPr>
          <w:rFonts w:ascii="Times New Roman" w:hAnsi="Times New Roman"/>
          <w:color w:val="000000"/>
          <w:sz w:val="24"/>
          <w:szCs w:val="24"/>
        </w:rPr>
      </w:pPr>
      <w:r>
        <w:rPr>
          <w:rFonts w:ascii="Times New Roman" w:hAnsi="Times New Roman"/>
          <w:color w:val="000000"/>
          <w:sz w:val="24"/>
          <w:szCs w:val="24"/>
        </w:rPr>
        <w:t>Anna</w:t>
      </w:r>
      <w:r w:rsidR="00A618B8">
        <w:rPr>
          <w:rFonts w:ascii="Times New Roman" w:hAnsi="Times New Roman"/>
          <w:color w:val="000000"/>
          <w:sz w:val="24"/>
          <w:szCs w:val="24"/>
        </w:rPr>
        <w:t xml:space="preserve"> Kowalska-</w:t>
      </w:r>
      <w:r w:rsidR="00F43F58">
        <w:rPr>
          <w:rFonts w:ascii="Times New Roman" w:hAnsi="Times New Roman"/>
          <w:color w:val="000000"/>
          <w:sz w:val="24"/>
          <w:szCs w:val="24"/>
        </w:rPr>
        <w:t xml:space="preserve">Nowak </w:t>
      </w:r>
      <w:commentRangeStart w:id="0"/>
      <w:commentRangeEnd w:id="0"/>
      <w:r w:rsidR="00DB44D5">
        <w:rPr>
          <w:rStyle w:val="Odwoaniedokomentarza"/>
        </w:rPr>
        <w:commentReference w:id="0"/>
      </w:r>
    </w:p>
    <w:p w14:paraId="3673D776" w14:textId="26CE076B" w:rsidR="008E44FF" w:rsidRDefault="00F43F58" w:rsidP="008E44FF">
      <w:pPr>
        <w:rPr>
          <w:rFonts w:ascii="Times New Roman" w:hAnsi="Times New Roman"/>
          <w:color w:val="000000"/>
          <w:sz w:val="24"/>
          <w:szCs w:val="24"/>
        </w:rPr>
      </w:pPr>
      <w:r w:rsidRPr="00AA1737">
        <w:rPr>
          <w:rFonts w:ascii="Times New Roman" w:hAnsi="Times New Roman"/>
          <w:color w:val="000000"/>
          <w:sz w:val="24"/>
          <w:szCs w:val="24"/>
        </w:rPr>
        <w:t>AGH Akademia Górniczo-Hutnicza</w:t>
      </w:r>
    </w:p>
    <w:p w14:paraId="48FF568F" w14:textId="77777777" w:rsidR="00F31688" w:rsidRPr="00AA1737" w:rsidRDefault="00F31688" w:rsidP="008E44FF">
      <w:pPr>
        <w:rPr>
          <w:rFonts w:ascii="Times New Roman" w:hAnsi="Times New Roman"/>
          <w:color w:val="000000"/>
          <w:sz w:val="24"/>
          <w:szCs w:val="24"/>
        </w:rPr>
      </w:pPr>
    </w:p>
    <w:p w14:paraId="151DA429" w14:textId="77777777" w:rsidR="008E44FF" w:rsidRPr="00F43F58" w:rsidRDefault="00F43F58" w:rsidP="008E44FF">
      <w:r w:rsidRPr="00F43F58">
        <w:rPr>
          <w:rFonts w:ascii="Times New Roman" w:hAnsi="Times New Roman"/>
          <w:sz w:val="24"/>
          <w:szCs w:val="24"/>
        </w:rPr>
        <w:t xml:space="preserve">TYTUŁ: PRÓBKA DO SKŁADU „ZADANIE </w:t>
      </w:r>
      <w:r>
        <w:rPr>
          <w:rFonts w:ascii="Times New Roman" w:hAnsi="Times New Roman"/>
          <w:sz w:val="24"/>
          <w:szCs w:val="24"/>
        </w:rPr>
        <w:t>1</w:t>
      </w:r>
      <w:r w:rsidRPr="00F43F58">
        <w:rPr>
          <w:rFonts w:ascii="Times New Roman" w:hAnsi="Times New Roman"/>
          <w:sz w:val="24"/>
          <w:szCs w:val="24"/>
        </w:rPr>
        <w:t xml:space="preserve">” – STOPIEŃ TRUDNOŚCI </w:t>
      </w:r>
      <w:r>
        <w:rPr>
          <w:rFonts w:ascii="Times New Roman" w:hAnsi="Times New Roman"/>
          <w:sz w:val="24"/>
          <w:szCs w:val="24"/>
        </w:rPr>
        <w:t>DO 20</w:t>
      </w:r>
      <w:r w:rsidRPr="00F43F58">
        <w:rPr>
          <w:rFonts w:ascii="Times New Roman" w:hAnsi="Times New Roman"/>
          <w:sz w:val="24"/>
          <w:szCs w:val="24"/>
        </w:rPr>
        <w:t>%</w:t>
      </w:r>
      <w:commentRangeStart w:id="1"/>
      <w:commentRangeEnd w:id="1"/>
      <w:r w:rsidR="00DB44D5">
        <w:rPr>
          <w:rStyle w:val="Odwoaniedokomentarza"/>
        </w:rPr>
        <w:commentReference w:id="1"/>
      </w:r>
    </w:p>
    <w:p w14:paraId="2D2F67A7" w14:textId="77777777" w:rsidR="008E44FF" w:rsidRPr="00F43F58" w:rsidRDefault="008E44FF" w:rsidP="007831EB">
      <w:pPr>
        <w:rPr>
          <w:rFonts w:ascii="Times New Roman" w:hAnsi="Times New Roman"/>
          <w:color w:val="000000"/>
          <w:sz w:val="24"/>
          <w:szCs w:val="24"/>
        </w:rPr>
      </w:pPr>
    </w:p>
    <w:p w14:paraId="0EA83256" w14:textId="77777777" w:rsidR="007831EB" w:rsidRPr="001B4A4D" w:rsidRDefault="001B07DC" w:rsidP="00462D9D">
      <w:pPr>
        <w:spacing w:after="0" w:line="360" w:lineRule="auto"/>
        <w:jc w:val="both"/>
        <w:rPr>
          <w:rFonts w:ascii="Times New Roman" w:hAnsi="Times New Roman"/>
          <w:sz w:val="24"/>
          <w:szCs w:val="24"/>
        </w:rPr>
      </w:pPr>
      <w:commentRangeStart w:id="2"/>
      <w:r w:rsidRPr="001B07DC">
        <w:rPr>
          <w:rFonts w:ascii="Times New Roman" w:hAnsi="Times New Roman"/>
          <w:sz w:val="24"/>
          <w:szCs w:val="24"/>
        </w:rPr>
        <w:t>Społeczne konsekwencje mukowiscydozy, choroby genetycznej, na którą cierpi w Polsce niewiele ponad 1500 osób, z czego jedynie około 100 osiąga wiek 30 lat i więcej, rzadko są badane z perspektywy socjologii medycyny. Charakter choroby wymaga dużych wysiłków przystosowania się do życia w reżimie wyznaczonym z jednej strony objawami, z drugiej leczeniem nie tylko od samego chorego, ale także od opiekunów (zwykle rodziców, lub jednego z rodziców), dużych wydatków na niezbędne leki, odżywki, zakup sprzętu i materiałów gwarantujących właściwą rehabilitację i higienę dróg oddechowych. Równocześnie mała wiedza o tej chorobie w społeczeństwie niesie za sobą brak zrozumienia dla chorujących na nią, mylną interpretację objawów chorobowych (głównie kaszlu), niejednokrotnie dyskryminację i wykluczenie społeczne, prowadząc do izolacji społecznej i poczucia inności, co może wywoływać u samych chorujących niską samoocenę własnej wartości</w:t>
      </w:r>
      <w:r w:rsidR="002320D1" w:rsidRPr="002320D1">
        <w:rPr>
          <w:rFonts w:ascii="Times New Roman" w:hAnsi="Times New Roman"/>
          <w:sz w:val="24"/>
          <w:szCs w:val="24"/>
        </w:rPr>
        <w:t>.</w:t>
      </w:r>
      <w:commentRangeEnd w:id="2"/>
      <w:r w:rsidR="00DB44D5">
        <w:rPr>
          <w:rStyle w:val="Odwoaniedokomentarza"/>
        </w:rPr>
        <w:commentReference w:id="2"/>
      </w:r>
    </w:p>
    <w:p w14:paraId="659FB75A" w14:textId="77777777" w:rsidR="007831EB" w:rsidRPr="005B718A" w:rsidRDefault="007831EB" w:rsidP="007831EB">
      <w:pPr>
        <w:spacing w:after="0" w:line="360" w:lineRule="auto"/>
        <w:ind w:firstLine="360"/>
        <w:jc w:val="both"/>
        <w:rPr>
          <w:rFonts w:ascii="Times New Roman" w:hAnsi="Times New Roman"/>
          <w:sz w:val="24"/>
          <w:szCs w:val="24"/>
        </w:rPr>
      </w:pPr>
    </w:p>
    <w:p w14:paraId="3B49D4AF" w14:textId="77777777" w:rsidR="007831EB" w:rsidRPr="006A42E8" w:rsidRDefault="007831EB" w:rsidP="0012154E">
      <w:pPr>
        <w:spacing w:after="0" w:line="360" w:lineRule="auto"/>
        <w:jc w:val="both"/>
        <w:rPr>
          <w:rFonts w:ascii="Times New Roman" w:hAnsi="Times New Roman"/>
          <w:sz w:val="24"/>
          <w:szCs w:val="24"/>
        </w:rPr>
      </w:pPr>
      <w:commentRangeStart w:id="3"/>
      <w:r w:rsidRPr="005B718A">
        <w:rPr>
          <w:rFonts w:ascii="Times New Roman" w:hAnsi="Times New Roman"/>
          <w:sz w:val="24"/>
          <w:szCs w:val="24"/>
        </w:rPr>
        <w:t xml:space="preserve">Słowa kluczowe: </w:t>
      </w:r>
      <w:r w:rsidR="002857EC" w:rsidRPr="002857EC">
        <w:rPr>
          <w:rFonts w:ascii="Times New Roman" w:hAnsi="Times New Roman"/>
          <w:sz w:val="24"/>
          <w:szCs w:val="24"/>
        </w:rPr>
        <w:t>mukowiscydoza, jakość życia, stygmatyzacja, izolacja społeczna</w:t>
      </w:r>
      <w:commentRangeEnd w:id="3"/>
      <w:r w:rsidR="00DB44D5">
        <w:rPr>
          <w:rStyle w:val="Odwoaniedokomentarza"/>
        </w:rPr>
        <w:commentReference w:id="3"/>
      </w:r>
    </w:p>
    <w:p w14:paraId="1A710103" w14:textId="77777777" w:rsidR="007831EB" w:rsidRPr="006A42E8" w:rsidRDefault="007831EB" w:rsidP="007831EB">
      <w:pPr>
        <w:spacing w:after="0" w:line="360" w:lineRule="auto"/>
        <w:rPr>
          <w:rFonts w:ascii="Times New Roman" w:hAnsi="Times New Roman"/>
          <w:sz w:val="24"/>
          <w:szCs w:val="24"/>
        </w:rPr>
      </w:pPr>
    </w:p>
    <w:p w14:paraId="7C4095D8" w14:textId="77777777" w:rsidR="007831EB" w:rsidRPr="00FD05D0" w:rsidRDefault="00FD05D0" w:rsidP="007831EB">
      <w:pPr>
        <w:spacing w:after="0" w:line="360" w:lineRule="auto"/>
        <w:rPr>
          <w:rFonts w:ascii="Times New Roman" w:hAnsi="Times New Roman"/>
          <w:sz w:val="24"/>
          <w:szCs w:val="24"/>
        </w:rPr>
      </w:pPr>
      <w:r w:rsidRPr="00FD05D0">
        <w:rPr>
          <w:rFonts w:ascii="Times New Roman" w:hAnsi="Times New Roman"/>
          <w:sz w:val="24"/>
          <w:szCs w:val="24"/>
        </w:rPr>
        <w:t>WPROWADZENIE</w:t>
      </w:r>
    </w:p>
    <w:p w14:paraId="54C183CB" w14:textId="3FB29CCE" w:rsidR="002857EC" w:rsidRPr="002857EC" w:rsidRDefault="002857EC" w:rsidP="002857EC">
      <w:pPr>
        <w:spacing w:after="0" w:line="360" w:lineRule="auto"/>
        <w:jc w:val="both"/>
        <w:rPr>
          <w:rFonts w:ascii="Times New Roman" w:hAnsi="Times New Roman"/>
          <w:sz w:val="24"/>
          <w:szCs w:val="24"/>
        </w:rPr>
      </w:pPr>
      <w:r w:rsidRPr="002857EC">
        <w:rPr>
          <w:rFonts w:ascii="Times New Roman" w:hAnsi="Times New Roman"/>
          <w:sz w:val="24"/>
          <w:szCs w:val="24"/>
        </w:rPr>
        <w:t>W ujęciu medycznym mukowiscydoza należy do najczęstszych spośród wszystkich chorób rzadkich o charakterze ogólnoustrojowym i wielonarządowym, a około 5% osób rasy białej jest nosicielami zmutowanego genu odpowiedzialnego za jej wystąpienie. Mukowiscydoza odnotowywana jest częściej w populacjach krajów europejskich, na przykład ocenia się, że w Wielkiej Brytanii na 2415 urodzeń rodzi się jedno dziecko z mukowiscydozą; podobną częstość występowania mukowiscydozy potwierdza się w USA w grupie etnicznej pochodzenia kaukaskiego (</w:t>
      </w:r>
      <w:r w:rsidR="00AA1737">
        <w:rPr>
          <w:rFonts w:ascii="Times New Roman" w:hAnsi="Times New Roman"/>
          <w:sz w:val="24"/>
          <w:szCs w:val="24"/>
        </w:rPr>
        <w:t>jeden</w:t>
      </w:r>
      <w:r w:rsidRPr="002857EC">
        <w:rPr>
          <w:rFonts w:ascii="Times New Roman" w:hAnsi="Times New Roman"/>
          <w:sz w:val="24"/>
          <w:szCs w:val="24"/>
        </w:rPr>
        <w:t xml:space="preserve"> przypadek choroby na 2521 urodzeń), natomiast choroba ta rzadziej dotyka Brazylijczyków (</w:t>
      </w:r>
      <w:r w:rsidR="00AA1737">
        <w:rPr>
          <w:rFonts w:ascii="Times New Roman" w:hAnsi="Times New Roman"/>
          <w:sz w:val="24"/>
          <w:szCs w:val="24"/>
        </w:rPr>
        <w:t>jeden</w:t>
      </w:r>
      <w:r w:rsidRPr="002857EC">
        <w:rPr>
          <w:rFonts w:ascii="Times New Roman" w:hAnsi="Times New Roman"/>
          <w:sz w:val="24"/>
          <w:szCs w:val="24"/>
        </w:rPr>
        <w:t xml:space="preserve"> przypadek choroby na 6902). Wśród cech typowych dla tej choroby wymienia się uciążliwe objawy zatokowo-oskrzelowo-płucne, manifestowane przede wszystkim uporczywym kaszlem, a także problemy gastroenterologiczne (np. biegunki), niedowagę, nasilone zmiany wielonarządowe. Mukowiscydoza ujawnia się w większości przypadków we wczesnym dzieciństwie (do </w:t>
      </w:r>
      <w:r w:rsidR="00AA1737">
        <w:rPr>
          <w:rFonts w:ascii="Times New Roman" w:hAnsi="Times New Roman"/>
          <w:sz w:val="24"/>
          <w:szCs w:val="24"/>
        </w:rPr>
        <w:t>drugiego</w:t>
      </w:r>
      <w:r w:rsidRPr="002857EC">
        <w:rPr>
          <w:rFonts w:ascii="Times New Roman" w:hAnsi="Times New Roman"/>
          <w:sz w:val="24"/>
          <w:szCs w:val="24"/>
        </w:rPr>
        <w:t xml:space="preserve"> roku życia), ale zdarza się, że objawy pojawiają się dopiero w wieku szkolnym (Głowacki i Mach 2013). </w:t>
      </w:r>
      <w:r w:rsidR="002320D1" w:rsidRPr="002320D1">
        <w:rPr>
          <w:rFonts w:ascii="Times New Roman" w:hAnsi="Times New Roman"/>
          <w:sz w:val="24"/>
          <w:szCs w:val="24"/>
        </w:rPr>
        <w:t>W dzisiejszych społeczeństwach należących do kręgu cywilizacji europejskiej dominują trzy modelowe podejścia do definiowania niepełnosprawności: medyczny (indywidualny), funkcjonalny (interakcyjny) oraz społeczny (socjopolityczny) (Wiliński 2010: 17). Pierwszy z nich ukształtowany został pod wpływem spojrzenia na niepełnosprawność przez wymiar biologiczno-medyczny</w:t>
      </w:r>
      <w:r w:rsidR="007831EB" w:rsidRPr="006A42E8">
        <w:rPr>
          <w:rStyle w:val="Odwoanieprzypisudolnego"/>
          <w:rFonts w:ascii="Times New Roman" w:hAnsi="Times New Roman"/>
          <w:sz w:val="24"/>
          <w:szCs w:val="24"/>
        </w:rPr>
        <w:footnoteReference w:id="1"/>
      </w:r>
      <w:r w:rsidR="007831EB" w:rsidRPr="006A42E8">
        <w:rPr>
          <w:rFonts w:ascii="Times New Roman" w:hAnsi="Times New Roman"/>
          <w:sz w:val="24"/>
          <w:szCs w:val="24"/>
        </w:rPr>
        <w:t xml:space="preserve">. </w:t>
      </w:r>
      <w:r w:rsidRPr="002857EC">
        <w:rPr>
          <w:rFonts w:ascii="Times New Roman" w:hAnsi="Times New Roman"/>
          <w:sz w:val="24"/>
          <w:szCs w:val="24"/>
        </w:rPr>
        <w:t xml:space="preserve">Mukowiscydoza została opisana po raz pierwszy w 1938 roku przez Andersona i w tym czasie 70% chorujących na nią dzieci nie dożywało swoich pierwszych urodzin. Obecnie dzięki lepszemu rozpoznaniu specyfiki tej choroby i nowym formom postępowania terapeutycznego szacuje się, że dzieci urodzone z tą chorobą w latach 90. XX wieku mają szansę dożycia czterdziestki. Jakkolwiek w ciągu ostatnich 40 lat przeciętny wiek, jakiego dożywają chorzy z mukowiscydozą, znacznie się wydłużył (Fogarty, Hubbard i Britton 2000; Cohen-Cymberknoh, Shoseyov i Kerem 2011), to jednak ryzyko zgonu chorych dzieci w okresie dzieciństwa nadal pozostaje wysokie. W krajach, gdzie korzysta się z wielu dostępnych metod leczenia mukowiscydozy, dorośli stanowią około 40% populacji chorych. W Polsce żyje obecnie około 1500 osób chorujących na tę chorobę, z czego wieku dorosłego dożywa tylko około </w:t>
      </w:r>
      <w:r w:rsidR="00147B6C">
        <w:rPr>
          <w:rFonts w:ascii="Times New Roman" w:hAnsi="Times New Roman"/>
          <w:sz w:val="24"/>
          <w:szCs w:val="24"/>
        </w:rPr>
        <w:t>jednej trzeciej</w:t>
      </w:r>
      <w:r w:rsidRPr="002857EC">
        <w:rPr>
          <w:rFonts w:ascii="Times New Roman" w:hAnsi="Times New Roman"/>
          <w:sz w:val="24"/>
          <w:szCs w:val="24"/>
        </w:rPr>
        <w:t xml:space="preserve"> chorych, a jedynie około stu osób osiąga wiek 30 lat lub więcej (Mazurek 2012: 21). Leczenie wymaga ścisłego stosowania się do zaleceń lekarskich i przestrzegania reżimu leczenia, polegającego na konieczności wykonywania czasochłonnych zabiegów rehabilitacji oddechowej (inhalacje, drenaż), przyjmowania enzymów trzustkowych, dbania o wysokoenergetyczną dietę. Choroba wiąże się nie tylko z koniecznością poddania się długotrwałemu leczeniu głównie z powodu infekcji, wymagających niejednokrotnie hospitalizacji, ale także z ustawiczną walką o odpowiednią masę ciała. </w:t>
      </w:r>
      <w:r w:rsidR="00262BB5">
        <w:rPr>
          <w:rFonts w:ascii="Times New Roman" w:hAnsi="Times New Roman"/>
          <w:sz w:val="24"/>
          <w:szCs w:val="24"/>
        </w:rPr>
        <w:t>M</w:t>
      </w:r>
      <w:r w:rsidRPr="002857EC">
        <w:rPr>
          <w:rFonts w:ascii="Times New Roman" w:hAnsi="Times New Roman"/>
          <w:sz w:val="24"/>
          <w:szCs w:val="24"/>
        </w:rPr>
        <w:t>imo że wraz z wydłużaniem się długości życia chorujących na mukowiscydozę, wzrasta odsetek osób dorosłych, to większość badań socjologicznych koncentruje się jednak na jakości życia dzieci, adolescentów i ich rodzicach lub opiekunach (Lowton 2002).</w:t>
      </w:r>
    </w:p>
    <w:p w14:paraId="1EE9D432" w14:textId="77777777" w:rsidR="002857EC" w:rsidRDefault="002857EC" w:rsidP="0012154E">
      <w:pPr>
        <w:spacing w:after="0" w:line="360" w:lineRule="auto"/>
        <w:jc w:val="both"/>
        <w:rPr>
          <w:rFonts w:ascii="Times New Roman" w:hAnsi="Times New Roman"/>
          <w:sz w:val="24"/>
          <w:szCs w:val="24"/>
        </w:rPr>
      </w:pPr>
    </w:p>
    <w:p w14:paraId="0B7E46A7" w14:textId="54F5CC76" w:rsidR="002857EC" w:rsidRDefault="002857EC" w:rsidP="00C5085F">
      <w:pPr>
        <w:spacing w:after="0" w:line="360" w:lineRule="auto"/>
        <w:rPr>
          <w:rFonts w:ascii="Times New Roman" w:hAnsi="Times New Roman"/>
          <w:sz w:val="24"/>
          <w:szCs w:val="24"/>
        </w:rPr>
      </w:pPr>
      <w:r w:rsidRPr="002857EC">
        <w:rPr>
          <w:rFonts w:ascii="Times New Roman" w:hAnsi="Times New Roman"/>
          <w:sz w:val="24"/>
          <w:szCs w:val="24"/>
        </w:rPr>
        <w:t xml:space="preserve">TEORETYCZNE I METODOLOGICZNE PODSTAWY </w:t>
      </w:r>
      <w:r w:rsidR="00C5085F">
        <w:rPr>
          <w:rFonts w:ascii="Times New Roman" w:hAnsi="Times New Roman"/>
          <w:sz w:val="24"/>
          <w:szCs w:val="24"/>
        </w:rPr>
        <w:br/>
      </w:r>
      <w:r w:rsidRPr="002857EC">
        <w:rPr>
          <w:rFonts w:ascii="Times New Roman" w:hAnsi="Times New Roman"/>
          <w:sz w:val="24"/>
          <w:szCs w:val="24"/>
        </w:rPr>
        <w:t>PROWADZONYCH BADAŃ</w:t>
      </w:r>
    </w:p>
    <w:p w14:paraId="066928E6" w14:textId="77777777" w:rsidR="002857EC" w:rsidRPr="002857EC" w:rsidRDefault="002857EC" w:rsidP="002857EC">
      <w:pPr>
        <w:spacing w:after="0" w:line="360" w:lineRule="auto"/>
        <w:jc w:val="both"/>
        <w:rPr>
          <w:rFonts w:ascii="Times New Roman" w:hAnsi="Times New Roman"/>
          <w:sz w:val="24"/>
          <w:szCs w:val="24"/>
        </w:rPr>
      </w:pPr>
      <w:r w:rsidRPr="002857EC">
        <w:rPr>
          <w:rFonts w:ascii="Times New Roman" w:hAnsi="Times New Roman"/>
          <w:sz w:val="24"/>
          <w:szCs w:val="24"/>
        </w:rPr>
        <w:t>Odwołując się do koncepcji jakości życia uwarunkowanej stanem zdrowia, zwykle w badaniach podejmuje się próbę określenia wpływu choroby na życie z perspektywy chorego dziecka lub jego rodziców/opiekunów. Jakość życia uwarunkowana stanem zdrowia jest określana jako subiektywna percepcja konsekwencji zmian w stanie zdrowia (zarówno choroby, jak i leczenia); ocena ta bierze pod uwagę funkcjonowanie dziecka lub adolescenta w wymiarze zdrowia fizycznego, psychologicznego i społecznego oraz well-beingu (dobrostanu). Bada się ocenę różnych wymiarów codziennego funkcjonowania dziecka w porównaniu z jego oczekiwaniami. Zwraca się uwagę na wiele czynników społecznych determinujących te oceny dokonywane przez chore dziecko – nie tylko na zależność od rodzaju choroby, ale także wyraźną zależność od klasy społecznej, wieku, płci, grupy etnicznej, poziomu edukacji, napięć związanych z występującymi symptomami. Znaczącą rolę przypisuje się funkcjonowaniu grupy rodzinnej, z perspektywy jej stylu życia, a także dotychczasowych doświadczeń rodziny z tego typu chorobą (Beattie i Lewis</w:t>
      </w:r>
      <w:r w:rsidR="00AA1737">
        <w:rPr>
          <w:rFonts w:ascii="Times New Roman" w:hAnsi="Times New Roman"/>
          <w:sz w:val="24"/>
          <w:szCs w:val="24"/>
        </w:rPr>
        <w:t>-</w:t>
      </w:r>
      <w:r w:rsidRPr="002857EC">
        <w:rPr>
          <w:rFonts w:ascii="Times New Roman" w:hAnsi="Times New Roman"/>
          <w:sz w:val="24"/>
          <w:szCs w:val="24"/>
        </w:rPr>
        <w:t>Jones 2006).</w:t>
      </w:r>
    </w:p>
    <w:p w14:paraId="0B52A3D3" w14:textId="77777777" w:rsidR="002857EC" w:rsidRPr="002857EC" w:rsidRDefault="002857EC" w:rsidP="002857EC">
      <w:pPr>
        <w:spacing w:after="0" w:line="360" w:lineRule="auto"/>
        <w:jc w:val="both"/>
        <w:rPr>
          <w:rFonts w:ascii="Times New Roman" w:hAnsi="Times New Roman"/>
          <w:sz w:val="24"/>
          <w:szCs w:val="24"/>
        </w:rPr>
      </w:pPr>
      <w:r w:rsidRPr="002857EC">
        <w:rPr>
          <w:rFonts w:ascii="Times New Roman" w:hAnsi="Times New Roman"/>
          <w:sz w:val="24"/>
          <w:szCs w:val="24"/>
        </w:rPr>
        <w:t>Badania dowodzą także, że chore płci żeńskiej mają gorsze prognozy niż chorzy płci męskiej, co potwierdzają dane dotyczące szans życia z tą chorobą – statystyki przeżycia mówią, że w przypadku dziewcząt mediana współczynnika umieralności do 20</w:t>
      </w:r>
      <w:r w:rsidR="00F35A58">
        <w:rPr>
          <w:rFonts w:ascii="Times New Roman" w:hAnsi="Times New Roman"/>
          <w:sz w:val="24"/>
          <w:szCs w:val="24"/>
        </w:rPr>
        <w:t>.</w:t>
      </w:r>
      <w:r w:rsidRPr="002857EC">
        <w:rPr>
          <w:rFonts w:ascii="Times New Roman" w:hAnsi="Times New Roman"/>
          <w:sz w:val="24"/>
          <w:szCs w:val="24"/>
        </w:rPr>
        <w:t xml:space="preserve"> roku życia jest o cztery lata niższa niż chłopców; w następnych latach życia umieralność wśród kobiet i mężczyzn jest porównywalna. Badania pokazują także odmienne sposoby reagowania na objawy chorobowe przez dziewczęta i chłopców. Chore dziewczęta przejawiają więcej objawów chorobowych, silniejszy ból i bardziej subiektywne lub emocjonalne symptomy, co wynika z podejścia do choroby. </w:t>
      </w:r>
    </w:p>
    <w:p w14:paraId="11120E5B" w14:textId="77777777" w:rsidR="0012154E" w:rsidRPr="0012154E" w:rsidRDefault="002857EC" w:rsidP="002857EC">
      <w:pPr>
        <w:spacing w:after="0" w:line="360" w:lineRule="auto"/>
        <w:jc w:val="both"/>
        <w:rPr>
          <w:rFonts w:ascii="Times New Roman" w:hAnsi="Times New Roman"/>
          <w:sz w:val="24"/>
          <w:szCs w:val="24"/>
        </w:rPr>
      </w:pPr>
      <w:r w:rsidRPr="002857EC">
        <w:rPr>
          <w:rFonts w:ascii="Times New Roman" w:hAnsi="Times New Roman"/>
          <w:sz w:val="24"/>
          <w:szCs w:val="24"/>
        </w:rPr>
        <w:t xml:space="preserve">W literaturze przedmiotu należy wskazać dwa nurty rozważań socjomedycznych: z jednej strony próbę określenia konsekwencji społecznych choroby dla chorującego, z drugiej – ocenę konsekwencji i psychospołecznych kosztów, jakie ponosi opiekun (zwykle matka) z racji sprawowania opieki, ale także konieczności udzielania codziennego wsparcia nie tylko instrumentalnego, ale i w równym stopniu emocjonalnego chorującej najbliższej osobie – dziecku, starszemu dziecku; tym bardziej że tej opiece towarzyszy lęk o przyszłość, świadomość, że mimo wysiłków dziecko nie dożyje wieku dorosłego (Wong i Heriot 2008; Tobiasz-Adamczyk 2013: 198). </w:t>
      </w:r>
      <w:r w:rsidR="0012154E" w:rsidRPr="0012154E">
        <w:rPr>
          <w:rFonts w:ascii="Times New Roman" w:hAnsi="Times New Roman"/>
          <w:sz w:val="24"/>
          <w:szCs w:val="24"/>
        </w:rPr>
        <w:t>„Kwestionariusz jakości życia” został oryginalnie opracowany w czterech wersjach: dla dorosłych i nastolatków (osób powyżej 14</w:t>
      </w:r>
      <w:r w:rsidR="00F35A58">
        <w:rPr>
          <w:rFonts w:ascii="Times New Roman" w:hAnsi="Times New Roman"/>
          <w:sz w:val="24"/>
          <w:szCs w:val="24"/>
        </w:rPr>
        <w:t>.</w:t>
      </w:r>
      <w:r w:rsidR="0012154E" w:rsidRPr="0012154E">
        <w:rPr>
          <w:rFonts w:ascii="Times New Roman" w:hAnsi="Times New Roman"/>
          <w:sz w:val="24"/>
          <w:szCs w:val="24"/>
        </w:rPr>
        <w:t xml:space="preserve"> roku życia), dla rodziców dzieci chorych, oraz dla dzieci w wieku szkolnym (młodszych w wieku 6–11 lat i starszych, w wieku 12–13 lat). Narzędzie to, zawierające pytania, na które badani odpowiadają w </w:t>
      </w:r>
      <w:r w:rsidR="00D75BD0">
        <w:rPr>
          <w:rFonts w:ascii="Times New Roman" w:hAnsi="Times New Roman"/>
          <w:sz w:val="24"/>
          <w:szCs w:val="24"/>
        </w:rPr>
        <w:t>cztero</w:t>
      </w:r>
      <w:r w:rsidR="0012154E" w:rsidRPr="0012154E">
        <w:rPr>
          <w:rFonts w:ascii="Times New Roman" w:hAnsi="Times New Roman"/>
          <w:sz w:val="24"/>
          <w:szCs w:val="24"/>
        </w:rPr>
        <w:t>stopniowej skali Likerta, pozwala ocenić następujące wymiary jakości życia</w:t>
      </w:r>
      <w:r w:rsidR="0012154E" w:rsidRPr="0012154E">
        <w:rPr>
          <w:rFonts w:ascii="Times New Roman" w:hAnsi="Times New Roman"/>
          <w:sz w:val="24"/>
          <w:szCs w:val="24"/>
          <w:vertAlign w:val="superscript"/>
        </w:rPr>
        <w:footnoteReference w:id="2"/>
      </w:r>
      <w:r w:rsidR="00AA4948">
        <w:rPr>
          <w:rFonts w:ascii="Times New Roman" w:hAnsi="Times New Roman"/>
          <w:sz w:val="24"/>
          <w:szCs w:val="24"/>
        </w:rPr>
        <w:t>:</w:t>
      </w:r>
    </w:p>
    <w:p w14:paraId="7CBD61BE" w14:textId="77777777" w:rsidR="0012154E" w:rsidRPr="0012154E" w:rsidRDefault="0012154E" w:rsidP="00AA4948">
      <w:pPr>
        <w:numPr>
          <w:ilvl w:val="0"/>
          <w:numId w:val="32"/>
        </w:numPr>
        <w:spacing w:after="0" w:line="360" w:lineRule="auto"/>
        <w:jc w:val="both"/>
        <w:rPr>
          <w:rFonts w:ascii="Times New Roman" w:hAnsi="Times New Roman"/>
          <w:sz w:val="24"/>
          <w:szCs w:val="24"/>
        </w:rPr>
      </w:pPr>
      <w:commentRangeStart w:id="4"/>
      <w:r w:rsidRPr="0012154E">
        <w:rPr>
          <w:rFonts w:ascii="Times New Roman" w:hAnsi="Times New Roman"/>
          <w:sz w:val="24"/>
          <w:szCs w:val="24"/>
        </w:rPr>
        <w:t xml:space="preserve">funkcjonowanie fizyczne, </w:t>
      </w:r>
    </w:p>
    <w:p w14:paraId="085BA811"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witalność, </w:t>
      </w:r>
    </w:p>
    <w:p w14:paraId="3F4B5956"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stan emocjonalny, </w:t>
      </w:r>
    </w:p>
    <w:p w14:paraId="48AF04D2"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funkcjonowanie społeczne (oceniane u nastolatków i dorosłych), </w:t>
      </w:r>
    </w:p>
    <w:p w14:paraId="7D58B830"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role społeczne (u nastolatków i dorosłych), </w:t>
      </w:r>
    </w:p>
    <w:p w14:paraId="4F9F09B7"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funkcjonowanie w szkole (oceniane u dzieci), </w:t>
      </w:r>
    </w:p>
    <w:p w14:paraId="23448A1F"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obraz (wygląd) ciała, </w:t>
      </w:r>
    </w:p>
    <w:p w14:paraId="02567FA2" w14:textId="77777777" w:rsidR="00262BB5" w:rsidRPr="0012154E" w:rsidRDefault="00262BB5" w:rsidP="00262BB5">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zachowania związane z jedzeniem, </w:t>
      </w:r>
    </w:p>
    <w:p w14:paraId="17739C88"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postrzeganie zdrowia, </w:t>
      </w:r>
    </w:p>
    <w:p w14:paraId="32F8AB19" w14:textId="77777777" w:rsidR="00262BB5" w:rsidRPr="0012154E" w:rsidRDefault="00262BB5" w:rsidP="00262BB5">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funkcjonowanie układu pokarmowego, </w:t>
      </w:r>
    </w:p>
    <w:p w14:paraId="4948DC01"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ograniczenia związane z leczeniem, </w:t>
      </w:r>
    </w:p>
    <w:p w14:paraId="5778F96A" w14:textId="77777777" w:rsidR="0012154E" w:rsidRPr="0012154E"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 xml:space="preserve">funkcjonowanie układu oddechowego, </w:t>
      </w:r>
    </w:p>
    <w:p w14:paraId="570540C8" w14:textId="77777777" w:rsidR="0012154E" w:rsidRPr="006A42E8" w:rsidRDefault="0012154E" w:rsidP="00AA4948">
      <w:pPr>
        <w:numPr>
          <w:ilvl w:val="0"/>
          <w:numId w:val="32"/>
        </w:numPr>
        <w:spacing w:after="0" w:line="360" w:lineRule="auto"/>
        <w:jc w:val="both"/>
        <w:rPr>
          <w:rFonts w:ascii="Times New Roman" w:hAnsi="Times New Roman"/>
          <w:sz w:val="24"/>
          <w:szCs w:val="24"/>
        </w:rPr>
      </w:pPr>
      <w:r w:rsidRPr="0012154E">
        <w:rPr>
          <w:rFonts w:ascii="Times New Roman" w:hAnsi="Times New Roman"/>
          <w:sz w:val="24"/>
          <w:szCs w:val="24"/>
        </w:rPr>
        <w:t>przybieranie na wadze (masa ciała)</w:t>
      </w:r>
      <w:r w:rsidR="007831EB" w:rsidRPr="006A42E8">
        <w:rPr>
          <w:rFonts w:ascii="Times New Roman" w:hAnsi="Times New Roman"/>
          <w:sz w:val="24"/>
          <w:szCs w:val="24"/>
        </w:rPr>
        <w:t xml:space="preserve">. </w:t>
      </w:r>
      <w:commentRangeEnd w:id="4"/>
      <w:r w:rsidR="00262BB5">
        <w:rPr>
          <w:rStyle w:val="Odwoaniedokomentarza"/>
        </w:rPr>
        <w:commentReference w:id="4"/>
      </w:r>
    </w:p>
    <w:p w14:paraId="7F931A5C" w14:textId="63C22875" w:rsidR="007831EB" w:rsidRDefault="00D75BD0" w:rsidP="00462D9D">
      <w:pPr>
        <w:spacing w:after="0" w:line="360" w:lineRule="auto"/>
        <w:jc w:val="both"/>
        <w:rPr>
          <w:rFonts w:ascii="Times New Roman" w:hAnsi="Times New Roman"/>
          <w:sz w:val="24"/>
          <w:szCs w:val="24"/>
        </w:rPr>
      </w:pPr>
      <w:r w:rsidRPr="00D75BD0">
        <w:rPr>
          <w:rFonts w:ascii="Times New Roman" w:hAnsi="Times New Roman"/>
          <w:sz w:val="24"/>
          <w:szCs w:val="24"/>
        </w:rPr>
        <w:t xml:space="preserve">W odniesieniu do każdego z ocenianych wymiarów jakości życia otrzymane wyniki mogą przybierać wartość od 0 do 100 punktów, gdzie wyższy wynik oznacza lepszą (wyżej ocenianą) jakość życia. Na potrzeby niniejszego badania użyto „Kwestionariusza jakości życia” w wersji dla dorosłych i nastolatków oraz w wersji dla rodziców dzieci chorych i przyjęto, że wynik 50 punktów i więcej oznacza wysoką ocenę jakości życia </w:t>
      </w:r>
      <w:r w:rsidR="007831EB" w:rsidRPr="006A42E8">
        <w:rPr>
          <w:rFonts w:ascii="Times New Roman" w:hAnsi="Times New Roman"/>
          <w:sz w:val="24"/>
          <w:szCs w:val="24"/>
        </w:rPr>
        <w:t>(</w:t>
      </w:r>
      <w:r w:rsidR="007831EB">
        <w:rPr>
          <w:rFonts w:ascii="Times New Roman" w:hAnsi="Times New Roman"/>
          <w:sz w:val="24"/>
          <w:szCs w:val="24"/>
        </w:rPr>
        <w:t xml:space="preserve">zob. </w:t>
      </w:r>
      <w:r w:rsidR="007831EB" w:rsidRPr="00FD05D0">
        <w:rPr>
          <w:rFonts w:ascii="Times New Roman" w:hAnsi="Times New Roman"/>
          <w:sz w:val="24"/>
          <w:szCs w:val="24"/>
          <w:highlight w:val="yellow"/>
        </w:rPr>
        <w:t>rys. 1</w:t>
      </w:r>
      <w:r w:rsidR="007831EB" w:rsidRPr="006A42E8">
        <w:rPr>
          <w:rFonts w:ascii="Times New Roman" w:hAnsi="Times New Roman"/>
          <w:sz w:val="24"/>
          <w:szCs w:val="24"/>
        </w:rPr>
        <w:t>)</w:t>
      </w:r>
      <w:commentRangeStart w:id="5"/>
      <w:r>
        <w:rPr>
          <w:rFonts w:ascii="Times New Roman" w:hAnsi="Times New Roman"/>
          <w:sz w:val="24"/>
          <w:szCs w:val="24"/>
        </w:rPr>
        <w:t>.</w:t>
      </w:r>
      <w:commentRangeEnd w:id="5"/>
      <w:r w:rsidR="00262BB5">
        <w:rPr>
          <w:rStyle w:val="Odwoaniedokomentarza"/>
        </w:rPr>
        <w:commentReference w:id="5"/>
      </w:r>
      <w:r w:rsidR="007831EB" w:rsidRPr="006A42E8">
        <w:rPr>
          <w:rFonts w:ascii="Times New Roman" w:hAnsi="Times New Roman"/>
          <w:sz w:val="24"/>
          <w:szCs w:val="24"/>
        </w:rPr>
        <w:t xml:space="preserve"> </w:t>
      </w:r>
    </w:p>
    <w:p w14:paraId="66866471" w14:textId="77777777" w:rsidR="00D9169A" w:rsidRDefault="00D9169A" w:rsidP="007831EB">
      <w:pPr>
        <w:spacing w:after="0" w:line="360" w:lineRule="auto"/>
        <w:jc w:val="both"/>
        <w:rPr>
          <w:noProof/>
          <w:lang w:eastAsia="pl-PL"/>
        </w:rPr>
      </w:pPr>
    </w:p>
    <w:p w14:paraId="17984430" w14:textId="53405840" w:rsidR="007831EB" w:rsidRPr="006A42E8" w:rsidRDefault="00A618B8" w:rsidP="007831EB">
      <w:pPr>
        <w:spacing w:after="0" w:line="360" w:lineRule="auto"/>
        <w:jc w:val="both"/>
        <w:rPr>
          <w:rFonts w:ascii="Times New Roman" w:hAnsi="Times New Roman"/>
          <w:sz w:val="24"/>
          <w:szCs w:val="24"/>
        </w:rPr>
      </w:pPr>
      <w:r>
        <w:rPr>
          <w:noProof/>
          <w:lang w:eastAsia="pl-PL"/>
        </w:rPr>
        <w:drawing>
          <wp:inline distT="0" distB="0" distL="0" distR="0" wp14:anchorId="4A071506" wp14:editId="2E9E327A">
            <wp:extent cx="5786105" cy="1693628"/>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81" t="-1" b="16340"/>
                    <a:stretch/>
                  </pic:blipFill>
                  <pic:spPr bwMode="auto">
                    <a:xfrm>
                      <a:off x="0" y="0"/>
                      <a:ext cx="5828695" cy="1706094"/>
                    </a:xfrm>
                    <a:prstGeom prst="rect">
                      <a:avLst/>
                    </a:prstGeom>
                    <a:noFill/>
                    <a:ln>
                      <a:noFill/>
                    </a:ln>
                    <a:extLst>
                      <a:ext uri="{53640926-AAD7-44D8-BBD7-CCE9431645EC}">
                        <a14:shadowObscured xmlns:a14="http://schemas.microsoft.com/office/drawing/2010/main"/>
                      </a:ext>
                    </a:extLst>
                  </pic:spPr>
                </pic:pic>
              </a:graphicData>
            </a:graphic>
          </wp:inline>
        </w:drawing>
      </w:r>
    </w:p>
    <w:p w14:paraId="477C953E" w14:textId="0E52A652" w:rsidR="0012154E" w:rsidRDefault="00E3512E" w:rsidP="00462D9D">
      <w:pPr>
        <w:spacing w:after="0" w:line="360" w:lineRule="auto"/>
        <w:jc w:val="both"/>
        <w:rPr>
          <w:rFonts w:ascii="Times New Roman" w:hAnsi="Times New Roman"/>
          <w:sz w:val="24"/>
          <w:szCs w:val="24"/>
        </w:rPr>
      </w:pPr>
      <w:r w:rsidRPr="00FD05D0">
        <w:rPr>
          <w:rFonts w:ascii="Times New Roman" w:hAnsi="Times New Roman"/>
          <w:sz w:val="24"/>
          <w:szCs w:val="24"/>
        </w:rPr>
        <w:t>Rys. 1.</w:t>
      </w:r>
      <w:r w:rsidRPr="006A42E8">
        <w:rPr>
          <w:rFonts w:ascii="Times New Roman" w:hAnsi="Times New Roman"/>
          <w:sz w:val="24"/>
          <w:szCs w:val="24"/>
        </w:rPr>
        <w:t xml:space="preserve"> </w:t>
      </w:r>
      <w:r w:rsidR="0012154E" w:rsidRPr="0012154E">
        <w:rPr>
          <w:rFonts w:ascii="Times New Roman" w:hAnsi="Times New Roman"/>
          <w:sz w:val="24"/>
          <w:szCs w:val="24"/>
        </w:rPr>
        <w:t>Wątki dotyczące kwestii medycznych</w:t>
      </w:r>
      <w:r w:rsidR="00C5085F">
        <w:rPr>
          <w:rFonts w:ascii="Times New Roman" w:hAnsi="Times New Roman"/>
          <w:sz w:val="24"/>
          <w:szCs w:val="24"/>
        </w:rPr>
        <w:t xml:space="preserve"> (uwaga: dane na wykresie nie sumują się do 20,8%, ponieważ wpisy na analizowanych profilach miały wielowątkowy charakter</w:t>
      </w:r>
      <w:r w:rsidR="00D9169A">
        <w:rPr>
          <w:rFonts w:ascii="Times New Roman" w:hAnsi="Times New Roman"/>
          <w:sz w:val="24"/>
          <w:szCs w:val="24"/>
        </w:rPr>
        <w:t xml:space="preserve">, </w:t>
      </w:r>
      <w:r w:rsidR="00D9169A" w:rsidRPr="00D9169A">
        <w:rPr>
          <w:rFonts w:ascii="Times New Roman" w:hAnsi="Times New Roman"/>
          <w:i/>
          <w:iCs/>
          <w:sz w:val="24"/>
          <w:szCs w:val="24"/>
        </w:rPr>
        <w:t>N</w:t>
      </w:r>
      <w:r w:rsidR="00D9169A">
        <w:rPr>
          <w:rFonts w:ascii="Times New Roman" w:hAnsi="Times New Roman"/>
          <w:sz w:val="24"/>
          <w:szCs w:val="24"/>
        </w:rPr>
        <w:t xml:space="preserve"> = 1504)</w:t>
      </w:r>
    </w:p>
    <w:p w14:paraId="00A919F6" w14:textId="77777777" w:rsidR="007831EB" w:rsidRDefault="0012154E" w:rsidP="0012154E">
      <w:pPr>
        <w:pStyle w:val="NormalnyWeb"/>
        <w:shd w:val="clear" w:color="auto" w:fill="FFFFFF"/>
        <w:spacing w:before="0" w:beforeAutospacing="0" w:after="0" w:afterAutospacing="0" w:line="360" w:lineRule="auto"/>
        <w:jc w:val="both"/>
      </w:pPr>
      <w:r>
        <w:t xml:space="preserve">Bardzo ważnym dla edukacji i integracji społecznej z perspektywy osób niepełnosprawnych dokumentem jest </w:t>
      </w:r>
      <w:r w:rsidRPr="0012154E">
        <w:rPr>
          <w:i/>
        </w:rPr>
        <w:t>Konwencja o prawach osób niepełnosprawnych</w:t>
      </w:r>
      <w:r>
        <w:t xml:space="preserve">... podpisana w 2012 roku przez Bronisława Komorowskiego. Art. 24 ust. 4 </w:t>
      </w:r>
      <w:r w:rsidRPr="00F30297">
        <w:rPr>
          <w:i/>
        </w:rPr>
        <w:t xml:space="preserve">Konwencji </w:t>
      </w:r>
      <w:r>
        <w:t xml:space="preserve">stanowi: </w:t>
      </w:r>
    </w:p>
    <w:p w14:paraId="7255AE3B" w14:textId="77777777" w:rsidR="003C0AB2" w:rsidRDefault="003C0AB2" w:rsidP="0012154E">
      <w:pPr>
        <w:pStyle w:val="NormalnyWeb"/>
        <w:shd w:val="clear" w:color="auto" w:fill="FFFFFF"/>
        <w:spacing w:before="0" w:beforeAutospacing="0" w:after="0" w:afterAutospacing="0" w:line="360" w:lineRule="auto"/>
        <w:jc w:val="both"/>
      </w:pPr>
    </w:p>
    <w:p w14:paraId="5C0A12A8" w14:textId="419DE469" w:rsidR="007831EB" w:rsidRDefault="0012154E" w:rsidP="007831EB">
      <w:pPr>
        <w:spacing w:after="0" w:line="360" w:lineRule="auto"/>
        <w:jc w:val="both"/>
        <w:rPr>
          <w:rFonts w:ascii="Times New Roman" w:hAnsi="Times New Roman"/>
          <w:sz w:val="20"/>
          <w:szCs w:val="20"/>
          <w:shd w:val="clear" w:color="auto" w:fill="FFFFFF"/>
        </w:rPr>
      </w:pPr>
      <w:r w:rsidRPr="0012154E">
        <w:rPr>
          <w:rFonts w:ascii="Times New Roman" w:eastAsia="Times New Roman" w:hAnsi="Times New Roman"/>
          <w:color w:val="FF0000"/>
          <w:sz w:val="24"/>
          <w:szCs w:val="24"/>
          <w:lang w:eastAsia="pl-PL"/>
        </w:rPr>
        <w:t>Państwa-Strony uznają prawo osób niepełnosprawnych do edukacji. W celu realizacji tego prawa bez dyskryminacji i na zasadach równych szans Państwa-Strony zapewnią włączający system kształcenia umożliwiający integrację na wszystkich poziomach edukacji i w kształceniu ustawicznym [...]. Aby wesprzeć realizację tego prawa, Państwa-Strony podejmą odpowiednie środki w celu zatrudniania nauczycieli, w tym nauczycieli niepełnosprawnych, którzy mają kwalifikacje w zakresie używania języka migowego i/lub alfabetu Braille’a, oraz w celu szkolenia specjalistów i personelu pracujących na wszystkich szczeblach edukacji. Takie szkolenie będzie obejmować wiedzę na temat problemów niepełnosprawności i korzystanie ze wspomagających (augmentatywnych) i alternatywnych sposobów, środków i form komunikacji, technik i materiałów edukacyjnych, w celu wspierania osób niepełnosprawnych</w:t>
      </w:r>
      <w:commentRangeStart w:id="6"/>
      <w:r>
        <w:rPr>
          <w:rFonts w:ascii="Times New Roman" w:eastAsia="Times New Roman" w:hAnsi="Times New Roman"/>
          <w:color w:val="FF0000"/>
          <w:sz w:val="24"/>
          <w:szCs w:val="24"/>
          <w:lang w:eastAsia="pl-PL"/>
        </w:rPr>
        <w:t>.</w:t>
      </w:r>
      <w:commentRangeEnd w:id="6"/>
      <w:r w:rsidR="00262BB5">
        <w:rPr>
          <w:rStyle w:val="Odwoaniedokomentarza"/>
        </w:rPr>
        <w:commentReference w:id="6"/>
      </w:r>
      <w:r w:rsidRPr="0012154E">
        <w:rPr>
          <w:rFonts w:ascii="Times New Roman" w:eastAsia="Times New Roman" w:hAnsi="Times New Roman"/>
          <w:color w:val="FF0000"/>
          <w:sz w:val="24"/>
          <w:szCs w:val="24"/>
          <w:lang w:eastAsia="pl-PL"/>
        </w:rPr>
        <w:t xml:space="preserve"> </w:t>
      </w:r>
      <w:r w:rsidR="007831EB" w:rsidRPr="004626DC">
        <w:rPr>
          <w:rFonts w:ascii="Times New Roman" w:hAnsi="Times New Roman"/>
          <w:sz w:val="20"/>
          <w:szCs w:val="20"/>
          <w:shd w:val="clear" w:color="auto" w:fill="FFFFFF"/>
        </w:rPr>
        <w:t xml:space="preserve"> </w:t>
      </w:r>
    </w:p>
    <w:p w14:paraId="097A9AC4" w14:textId="77777777" w:rsidR="00AA1737" w:rsidRDefault="00AA1737" w:rsidP="007831EB">
      <w:pPr>
        <w:spacing w:after="0" w:line="360" w:lineRule="auto"/>
        <w:jc w:val="both"/>
        <w:rPr>
          <w:rFonts w:ascii="Times New Roman" w:hAnsi="Times New Roman"/>
          <w:sz w:val="20"/>
          <w:szCs w:val="20"/>
          <w:shd w:val="clear" w:color="auto" w:fill="FFFFFF"/>
        </w:rPr>
      </w:pPr>
    </w:p>
    <w:p w14:paraId="3F8FFB9D" w14:textId="77777777" w:rsidR="003C0AB2" w:rsidRPr="003C0AB2" w:rsidRDefault="003C0AB2" w:rsidP="007831EB">
      <w:pPr>
        <w:spacing w:after="0" w:line="360" w:lineRule="auto"/>
        <w:jc w:val="both"/>
        <w:rPr>
          <w:rFonts w:ascii="Times New Roman" w:hAnsi="Times New Roman"/>
          <w:sz w:val="24"/>
          <w:szCs w:val="24"/>
          <w:shd w:val="clear" w:color="auto" w:fill="FFFFFF"/>
        </w:rPr>
      </w:pPr>
      <w:r w:rsidRPr="003C0AB2">
        <w:rPr>
          <w:rFonts w:ascii="Times New Roman" w:hAnsi="Times New Roman"/>
          <w:sz w:val="24"/>
          <w:szCs w:val="24"/>
          <w:shd w:val="clear" w:color="auto" w:fill="FFFFFF"/>
        </w:rPr>
        <w:t>Charakteryzując wspomniane modele, należy zwrócić uwagę na kluczowe różnice pomiędzy nimi, związane z definiowaniem niepełnosprawności i osoby z niepełną sprawnością. Zarówno medyczny, jak i indywidualistyczny model niepełnosprawności utożsamia niepełnosprawność z chorobą, która jest traktowana jako osobista tragedia jednostki. Zgodnie z nimi niepełna sprawność jest postrzegana jako problem na poziomie jednostkowym (psychosomatycznym) i sprowadzana jest do indywidualnego ograniczenia sprawności lub innych „defektów”. Problemy osób niepełnosprawnych definiowane są jako bezpośrednie konsekwencje uszkodzenia narządów organizmu, spowodowane wadą wrodzoną, chorobą lub urazem. W konsekwencji przyjmuje się, że niepełnosprawność powstaje na skutek ograniczeń doświadczanych przez osoby nią dotknięte, które pojawiają się w wielu obszarach życia społecznego (Kirienko 2007: 44–47).</w:t>
      </w:r>
    </w:p>
    <w:p w14:paraId="11B48889" w14:textId="77777777" w:rsidR="007831EB" w:rsidRPr="003C0AB2" w:rsidRDefault="007831EB" w:rsidP="00AA4948">
      <w:pPr>
        <w:spacing w:after="0" w:line="360" w:lineRule="auto"/>
        <w:jc w:val="both"/>
        <w:rPr>
          <w:rFonts w:ascii="Times New Roman" w:hAnsi="Times New Roman"/>
          <w:sz w:val="24"/>
          <w:szCs w:val="24"/>
        </w:rPr>
      </w:pPr>
    </w:p>
    <w:p w14:paraId="55E6A2B8" w14:textId="77777777" w:rsidR="007831EB" w:rsidRPr="00FD05D0" w:rsidRDefault="00FD05D0" w:rsidP="00A11DC4">
      <w:pPr>
        <w:spacing w:after="0" w:line="360" w:lineRule="auto"/>
        <w:rPr>
          <w:rFonts w:ascii="Times New Roman" w:hAnsi="Times New Roman"/>
          <w:sz w:val="24"/>
          <w:szCs w:val="24"/>
        </w:rPr>
      </w:pPr>
      <w:r w:rsidRPr="00FD05D0">
        <w:rPr>
          <w:rFonts w:ascii="Times New Roman" w:hAnsi="Times New Roman"/>
          <w:sz w:val="24"/>
          <w:szCs w:val="24"/>
        </w:rPr>
        <w:t xml:space="preserve">DEFINIOWANIE NIEPEŁNOSPRAWNOŚCI – </w:t>
      </w:r>
      <w:r w:rsidR="00A11DC4">
        <w:rPr>
          <w:rFonts w:ascii="Times New Roman" w:hAnsi="Times New Roman"/>
          <w:sz w:val="24"/>
          <w:szCs w:val="24"/>
        </w:rPr>
        <w:br/>
      </w:r>
      <w:r w:rsidRPr="00FD05D0">
        <w:rPr>
          <w:rFonts w:ascii="Times New Roman" w:hAnsi="Times New Roman"/>
          <w:sz w:val="24"/>
          <w:szCs w:val="24"/>
        </w:rPr>
        <w:t xml:space="preserve">KILKA SŁÓW O TRUDNOŚCIACH TERMINOLOGICZNYCH </w:t>
      </w:r>
    </w:p>
    <w:p w14:paraId="0BFD5A78" w14:textId="77777777" w:rsidR="007831EB" w:rsidRPr="006A42E8" w:rsidRDefault="007831EB" w:rsidP="00FD05D0">
      <w:pPr>
        <w:spacing w:after="0" w:line="360" w:lineRule="auto"/>
        <w:jc w:val="both"/>
        <w:rPr>
          <w:rFonts w:ascii="Times New Roman" w:hAnsi="Times New Roman"/>
          <w:sz w:val="24"/>
          <w:szCs w:val="24"/>
        </w:rPr>
      </w:pPr>
      <w:r w:rsidRPr="006A42E8">
        <w:rPr>
          <w:rFonts w:ascii="Times New Roman" w:hAnsi="Times New Roman"/>
          <w:sz w:val="24"/>
          <w:szCs w:val="24"/>
        </w:rPr>
        <w:t>Zdefiniowanie terminu „niepełnosprawność</w:t>
      </w:r>
      <w:r>
        <w:rPr>
          <w:rFonts w:ascii="Times New Roman" w:hAnsi="Times New Roman"/>
          <w:sz w:val="24"/>
          <w:szCs w:val="24"/>
        </w:rPr>
        <w:t>”</w:t>
      </w:r>
      <w:r w:rsidRPr="006A42E8">
        <w:rPr>
          <w:rFonts w:ascii="Times New Roman" w:hAnsi="Times New Roman"/>
          <w:sz w:val="24"/>
          <w:szCs w:val="24"/>
        </w:rPr>
        <w:t xml:space="preserve"> jest kwestią bardzo złożoną, dlatego mówiąc o rozumieniu tego pojęcia, powinniśmy uwzględnić zmiany związane z pojmowaniem takich terminów, jak </w:t>
      </w:r>
      <w:r w:rsidRPr="006A42E8">
        <w:rPr>
          <w:rFonts w:ascii="Times New Roman" w:hAnsi="Times New Roman"/>
          <w:bCs/>
          <w:sz w:val="24"/>
          <w:szCs w:val="24"/>
        </w:rPr>
        <w:t>zdrowie i choroba.</w:t>
      </w:r>
      <w:r w:rsidRPr="006A42E8">
        <w:rPr>
          <w:rFonts w:ascii="Times New Roman" w:hAnsi="Times New Roman"/>
          <w:sz w:val="24"/>
          <w:szCs w:val="24"/>
        </w:rPr>
        <w:t xml:space="preserve"> Zwłaszcza w tej części definicji zdrowia, która na równi z pełnią samopoczucia fizycznego i umysłowego stawia samopoczucie społeczne i funkcjonalność jednostki w środowisku. </w:t>
      </w:r>
    </w:p>
    <w:p w14:paraId="1184571B" w14:textId="77777777" w:rsidR="007831EB" w:rsidRPr="006A42E8"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Definiując pojęcie osoby z niepełnosprawnością przyjmuje się, że „jest to osoba o naruszonej sprawności psychofizycznej, powodującej ograniczenie funkcjonalne sprawności lub aktywności życiowej w stopniu utrudniającym pełnienie właściwych dla niej ról społecznych” (Kawczyńska-Butrym 1996: 16).</w:t>
      </w:r>
    </w:p>
    <w:p w14:paraId="1D0E726A" w14:textId="77777777" w:rsidR="00313521" w:rsidRDefault="00313521" w:rsidP="00313521">
      <w:pPr>
        <w:spacing w:after="0" w:line="360" w:lineRule="auto"/>
        <w:jc w:val="both"/>
        <w:rPr>
          <w:rFonts w:ascii="Times New Roman" w:hAnsi="Times New Roman"/>
          <w:sz w:val="24"/>
          <w:szCs w:val="24"/>
        </w:rPr>
      </w:pPr>
      <w:r w:rsidRPr="006A42E8">
        <w:rPr>
          <w:rFonts w:ascii="Times New Roman" w:hAnsi="Times New Roman"/>
          <w:sz w:val="24"/>
          <w:szCs w:val="24"/>
        </w:rPr>
        <w:t>Obecnie odchodzi się od utożsamiania jednostki z niepełną sprawnością, wskazując na fakt, iż pewne ograniczenia w funkcjonowaniu osoby nie mogą rzutować na całościowy jej odbiór. Dysfunkcja w jednym obszarze nie może się równać dysfunkcjonalności jednostki jako takiej. W konsekwencji coraz częściej używa się określenia: osoba z niepełnosprawnością lub osoba z niepełnosprawnościami, a nie osoba niepełnosprawna, co pozwala oddzielić sfery</w:t>
      </w:r>
      <w:r>
        <w:rPr>
          <w:rFonts w:ascii="Times New Roman" w:hAnsi="Times New Roman"/>
          <w:sz w:val="24"/>
          <w:szCs w:val="24"/>
        </w:rPr>
        <w:t>,</w:t>
      </w:r>
      <w:r w:rsidRPr="006A42E8">
        <w:rPr>
          <w:rFonts w:ascii="Times New Roman" w:hAnsi="Times New Roman"/>
          <w:sz w:val="24"/>
          <w:szCs w:val="24"/>
        </w:rPr>
        <w:t xml:space="preserve"> w których występują ograniczenia od pozostałych obszarów, w których jednostka jest w pełni sprawna i funkcjonalna.</w:t>
      </w:r>
      <w:r>
        <w:rPr>
          <w:rFonts w:ascii="Times New Roman" w:hAnsi="Times New Roman"/>
          <w:sz w:val="24"/>
          <w:szCs w:val="24"/>
        </w:rPr>
        <w:t xml:space="preserve"> </w:t>
      </w:r>
      <w:r w:rsidRPr="006A42E8">
        <w:rPr>
          <w:rFonts w:ascii="Times New Roman" w:hAnsi="Times New Roman"/>
          <w:sz w:val="24"/>
          <w:szCs w:val="24"/>
        </w:rPr>
        <w:t>Co więcej</w:t>
      </w:r>
      <w:r>
        <w:rPr>
          <w:rFonts w:ascii="Times New Roman" w:hAnsi="Times New Roman"/>
          <w:sz w:val="24"/>
          <w:szCs w:val="24"/>
        </w:rPr>
        <w:t>,</w:t>
      </w:r>
      <w:r w:rsidRPr="006A42E8">
        <w:rPr>
          <w:rFonts w:ascii="Times New Roman" w:hAnsi="Times New Roman"/>
          <w:sz w:val="24"/>
          <w:szCs w:val="24"/>
        </w:rPr>
        <w:t xml:space="preserve"> odczuwanie niepełnej sprawności oraz bariery w tym zakresie powiązane są z zakresem funkcjonowania społeczeństwa. </w:t>
      </w:r>
      <w:r w:rsidR="003C0AB2">
        <w:rPr>
          <w:rFonts w:ascii="Times New Roman" w:hAnsi="Times New Roman"/>
          <w:sz w:val="24"/>
          <w:szCs w:val="24"/>
        </w:rPr>
        <w:t xml:space="preserve"> </w:t>
      </w:r>
    </w:p>
    <w:p w14:paraId="4E480A8C" w14:textId="77777777" w:rsidR="003C0AB2" w:rsidRDefault="003C0AB2" w:rsidP="00313521">
      <w:pPr>
        <w:spacing w:after="0" w:line="360" w:lineRule="auto"/>
        <w:jc w:val="both"/>
        <w:rPr>
          <w:rFonts w:ascii="Times New Roman" w:hAnsi="Times New Roman"/>
          <w:sz w:val="24"/>
          <w:szCs w:val="24"/>
        </w:rPr>
      </w:pPr>
    </w:p>
    <w:p w14:paraId="3CC985FC" w14:textId="77777777" w:rsidR="00313521" w:rsidRDefault="00313521" w:rsidP="00313521">
      <w:pPr>
        <w:spacing w:after="0" w:line="360" w:lineRule="auto"/>
        <w:jc w:val="both"/>
        <w:rPr>
          <w:rFonts w:ascii="Times New Roman" w:hAnsi="Times New Roman"/>
          <w:sz w:val="24"/>
          <w:szCs w:val="24"/>
        </w:rPr>
      </w:pPr>
      <w:r w:rsidRPr="00A11DC4">
        <w:rPr>
          <w:rFonts w:ascii="Times New Roman" w:hAnsi="Times New Roman"/>
          <w:color w:val="FF0000"/>
          <w:sz w:val="24"/>
          <w:szCs w:val="24"/>
        </w:rPr>
        <w:t>Niepełnosprawność nie jest zatem immanentną cechą jednostki, która z racji uszkodzeń lub wad fizycznych czy psychicznych nie jest w stanie funkcjonować we właściwy sposób w społeczeństwie. Jest właściwością sposobu zorganizowania społeczeństwa, które odpowiada na fakt istnienia ludzi z ograniczeniami fizycznymi lub psychicznymi w sposób, który nie stwarza im warunków zapewniających możliwość uczestnictwa w różnego ro</w:t>
      </w:r>
      <w:r>
        <w:rPr>
          <w:rFonts w:ascii="Times New Roman" w:hAnsi="Times New Roman"/>
          <w:color w:val="FF0000"/>
          <w:sz w:val="24"/>
          <w:szCs w:val="24"/>
        </w:rPr>
        <w:t>dzaju aktywnościach społecznych</w:t>
      </w:r>
      <w:r w:rsidRPr="006A42E8">
        <w:rPr>
          <w:rFonts w:ascii="Times New Roman" w:hAnsi="Times New Roman"/>
          <w:sz w:val="24"/>
          <w:szCs w:val="24"/>
        </w:rPr>
        <w:t xml:space="preserve"> (Gąciarz 2014: 19).</w:t>
      </w:r>
    </w:p>
    <w:p w14:paraId="1A25E852" w14:textId="77777777" w:rsidR="00313521" w:rsidRDefault="00313521" w:rsidP="00462D9D">
      <w:pPr>
        <w:spacing w:after="0" w:line="360" w:lineRule="auto"/>
        <w:jc w:val="both"/>
        <w:rPr>
          <w:rFonts w:ascii="Times New Roman" w:hAnsi="Times New Roman"/>
          <w:sz w:val="24"/>
          <w:szCs w:val="24"/>
        </w:rPr>
      </w:pPr>
    </w:p>
    <w:p w14:paraId="3B4E481D" w14:textId="77777777" w:rsidR="00FD05D0" w:rsidRPr="00462D9D"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 xml:space="preserve">W przeszłości polityka wobec osób z niepełnosprawnością </w:t>
      </w:r>
      <w:r>
        <w:rPr>
          <w:rFonts w:ascii="Times New Roman" w:hAnsi="Times New Roman"/>
          <w:sz w:val="24"/>
          <w:szCs w:val="24"/>
        </w:rPr>
        <w:t>opierała</w:t>
      </w:r>
      <w:r w:rsidRPr="006A42E8">
        <w:rPr>
          <w:rFonts w:ascii="Times New Roman" w:hAnsi="Times New Roman"/>
          <w:sz w:val="24"/>
          <w:szCs w:val="24"/>
        </w:rPr>
        <w:t xml:space="preserve"> się właśnie na</w:t>
      </w:r>
      <w:r w:rsidR="00462D9D">
        <w:rPr>
          <w:rFonts w:ascii="Times New Roman" w:hAnsi="Times New Roman"/>
          <w:sz w:val="24"/>
          <w:szCs w:val="24"/>
        </w:rPr>
        <w:t xml:space="preserve"> </w:t>
      </w:r>
      <w:r w:rsidR="00462D9D" w:rsidRPr="00462D9D">
        <w:rPr>
          <w:rFonts w:ascii="Times New Roman" w:hAnsi="Times New Roman"/>
          <w:sz w:val="24"/>
          <w:szCs w:val="24"/>
        </w:rPr>
        <w:t>„</w:t>
      </w:r>
      <w:r w:rsidRPr="00462D9D">
        <w:rPr>
          <w:rFonts w:ascii="Times New Roman" w:hAnsi="Times New Roman"/>
          <w:sz w:val="24"/>
          <w:szCs w:val="24"/>
        </w:rPr>
        <w:t>koncepcji niepełnosprawności, uznanej za problem indywidualny, z którym radzenie sobie polega na leczeniu, rehabilitacji medycznej i dostosowaniu się do wymagań otoczenia każdego niepełnosprawnego osobno. Rolą społeczeństwa, szczególnie instytucji publicznych, miało być w tej sytuacji zaopatrzenie osób niepełnosprawnych w środki finansowe i materialne zapewniające przeżycie, a także organizowanie instytucji zajmujących się opieką nad osobami niezdolnymi do samodzielnego życia</w:t>
      </w:r>
      <w:r w:rsidR="00462D9D" w:rsidRPr="00462D9D">
        <w:rPr>
          <w:rFonts w:ascii="Times New Roman" w:hAnsi="Times New Roman"/>
          <w:sz w:val="24"/>
          <w:szCs w:val="24"/>
        </w:rPr>
        <w:t>”</w:t>
      </w:r>
      <w:r w:rsidRPr="00462D9D">
        <w:rPr>
          <w:rFonts w:ascii="Times New Roman" w:hAnsi="Times New Roman"/>
          <w:sz w:val="24"/>
          <w:szCs w:val="24"/>
        </w:rPr>
        <w:t xml:space="preserve"> (Gąciarz 2014: 17). </w:t>
      </w:r>
    </w:p>
    <w:p w14:paraId="45314E76" w14:textId="77777777" w:rsidR="007831EB" w:rsidRPr="006A42E8" w:rsidRDefault="00FD05D0" w:rsidP="00462D9D">
      <w:pPr>
        <w:spacing w:after="0" w:line="360" w:lineRule="auto"/>
        <w:jc w:val="both"/>
        <w:rPr>
          <w:rFonts w:ascii="Times New Roman" w:hAnsi="Times New Roman"/>
          <w:sz w:val="24"/>
          <w:szCs w:val="24"/>
        </w:rPr>
      </w:pPr>
      <w:r>
        <w:rPr>
          <w:rFonts w:ascii="Times New Roman" w:hAnsi="Times New Roman"/>
          <w:sz w:val="24"/>
          <w:szCs w:val="24"/>
        </w:rPr>
        <w:t xml:space="preserve">Mimo że </w:t>
      </w:r>
      <w:r w:rsidR="007831EB" w:rsidRPr="006A42E8">
        <w:rPr>
          <w:rFonts w:ascii="Times New Roman" w:hAnsi="Times New Roman"/>
          <w:sz w:val="24"/>
          <w:szCs w:val="24"/>
        </w:rPr>
        <w:t xml:space="preserve">polityka ta </w:t>
      </w:r>
      <w:r w:rsidR="007831EB">
        <w:rPr>
          <w:rFonts w:ascii="Times New Roman" w:hAnsi="Times New Roman"/>
          <w:sz w:val="24"/>
          <w:szCs w:val="24"/>
        </w:rPr>
        <w:t xml:space="preserve">w tym czasie </w:t>
      </w:r>
      <w:r w:rsidR="007831EB" w:rsidRPr="006A42E8">
        <w:rPr>
          <w:rFonts w:ascii="Times New Roman" w:hAnsi="Times New Roman"/>
          <w:sz w:val="24"/>
          <w:szCs w:val="24"/>
        </w:rPr>
        <w:t>zapewne była oparta na dobrych intencjach, prawdopodobnie eskalowała ona problem marginalizacji i wykluczenia, dzieląc społeczeństwo na pełno</w:t>
      </w:r>
      <w:r w:rsidR="007831EB">
        <w:rPr>
          <w:rFonts w:ascii="Times New Roman" w:hAnsi="Times New Roman"/>
          <w:sz w:val="24"/>
          <w:szCs w:val="24"/>
        </w:rPr>
        <w:t>-</w:t>
      </w:r>
      <w:r w:rsidR="007831EB" w:rsidRPr="006A42E8">
        <w:rPr>
          <w:rFonts w:ascii="Times New Roman" w:hAnsi="Times New Roman"/>
          <w:sz w:val="24"/>
          <w:szCs w:val="24"/>
        </w:rPr>
        <w:t xml:space="preserve"> i niepełnosprawnych, „normalnych” i „innych”. </w:t>
      </w:r>
    </w:p>
    <w:p w14:paraId="0F9BDB1D" w14:textId="77777777" w:rsidR="007831EB" w:rsidRDefault="007831EB" w:rsidP="00313521">
      <w:pPr>
        <w:spacing w:after="0" w:line="360" w:lineRule="auto"/>
        <w:jc w:val="both"/>
        <w:rPr>
          <w:rFonts w:ascii="Times New Roman" w:hAnsi="Times New Roman"/>
          <w:sz w:val="24"/>
          <w:szCs w:val="24"/>
        </w:rPr>
      </w:pPr>
      <w:r w:rsidRPr="006A42E8">
        <w:rPr>
          <w:rFonts w:ascii="Times New Roman" w:hAnsi="Times New Roman"/>
          <w:sz w:val="24"/>
          <w:szCs w:val="24"/>
        </w:rPr>
        <w:t>Stopniowe upowszechnianie się modelu społecznego w Polsce, będące konsekwencją realizowanej sukcesywnie od lat 90</w:t>
      </w:r>
      <w:r>
        <w:rPr>
          <w:rFonts w:ascii="Times New Roman" w:hAnsi="Times New Roman"/>
          <w:sz w:val="24"/>
          <w:szCs w:val="24"/>
        </w:rPr>
        <w:t xml:space="preserve">. ubiegłego wieku </w:t>
      </w:r>
      <w:r w:rsidRPr="006A42E8">
        <w:rPr>
          <w:rFonts w:ascii="Times New Roman" w:hAnsi="Times New Roman"/>
          <w:sz w:val="24"/>
          <w:szCs w:val="24"/>
        </w:rPr>
        <w:t xml:space="preserve">polityki społecznej państwa oraz działań podejmowanych przez środowiska osób z niepełnosprawnością, skutkuje także zmianą w sposobie definiowania osób niepełnosprawnych. </w:t>
      </w:r>
    </w:p>
    <w:p w14:paraId="69319DA2" w14:textId="77777777" w:rsidR="007831EB" w:rsidRPr="006A42E8" w:rsidRDefault="00F35A58" w:rsidP="00462D9D">
      <w:pPr>
        <w:spacing w:after="0" w:line="360" w:lineRule="auto"/>
        <w:jc w:val="both"/>
        <w:rPr>
          <w:rFonts w:ascii="Times New Roman" w:hAnsi="Times New Roman"/>
          <w:sz w:val="24"/>
          <w:szCs w:val="24"/>
        </w:rPr>
      </w:pPr>
      <w:r>
        <w:rPr>
          <w:rFonts w:ascii="Times New Roman" w:hAnsi="Times New Roman"/>
          <w:sz w:val="24"/>
          <w:szCs w:val="24"/>
        </w:rPr>
        <w:t>Osoby</w:t>
      </w:r>
      <w:r w:rsidR="007831EB" w:rsidRPr="00027556">
        <w:rPr>
          <w:rFonts w:ascii="Times New Roman" w:hAnsi="Times New Roman"/>
          <w:sz w:val="24"/>
          <w:szCs w:val="24"/>
        </w:rPr>
        <w:t xml:space="preserve"> te musiały uporać się nie tylko ze stygmatem, jaki niejednokrotnie wiąże się z</w:t>
      </w:r>
      <w:r w:rsidR="00B01C42" w:rsidRPr="00027556">
        <w:rPr>
          <w:rFonts w:ascii="Times New Roman" w:hAnsi="Times New Roman"/>
          <w:sz w:val="24"/>
          <w:szCs w:val="24"/>
        </w:rPr>
        <w:t xml:space="preserve"> </w:t>
      </w:r>
      <w:r w:rsidR="007831EB" w:rsidRPr="00027556">
        <w:rPr>
          <w:rFonts w:ascii="Times New Roman" w:hAnsi="Times New Roman"/>
          <w:sz w:val="24"/>
          <w:szCs w:val="24"/>
        </w:rPr>
        <w:t>ograniczoną sprawnością, ale też konieczne było dokonanie redefinicji takich pojęć jak kobiecość i atrakcyjność (zob. Piątek 2009b: 53–60).</w:t>
      </w:r>
    </w:p>
    <w:p w14:paraId="2F792F3D" w14:textId="77777777" w:rsidR="007831EB" w:rsidRPr="006A42E8" w:rsidRDefault="007831EB" w:rsidP="00462D9D">
      <w:pPr>
        <w:spacing w:after="0" w:line="360" w:lineRule="auto"/>
        <w:jc w:val="both"/>
        <w:rPr>
          <w:rFonts w:ascii="Times New Roman" w:hAnsi="Times New Roman"/>
          <w:sz w:val="24"/>
          <w:szCs w:val="24"/>
        </w:rPr>
      </w:pPr>
    </w:p>
    <w:p w14:paraId="5715F367" w14:textId="77777777" w:rsidR="007831EB" w:rsidRPr="006A42E8" w:rsidRDefault="00FF02ED" w:rsidP="007831EB">
      <w:pPr>
        <w:tabs>
          <w:tab w:val="left" w:pos="7938"/>
          <w:tab w:val="left" w:pos="8222"/>
          <w:tab w:val="left" w:pos="8789"/>
        </w:tabs>
        <w:spacing w:after="0" w:line="360" w:lineRule="auto"/>
        <w:ind w:right="-2"/>
        <w:jc w:val="both"/>
        <w:rPr>
          <w:rFonts w:ascii="Times New Roman" w:hAnsi="Times New Roman"/>
          <w:sz w:val="24"/>
          <w:szCs w:val="24"/>
        </w:rPr>
      </w:pPr>
      <w:r w:rsidRPr="00FF02ED">
        <w:rPr>
          <w:rFonts w:ascii="Times New Roman" w:hAnsi="Times New Roman"/>
          <w:i/>
          <w:sz w:val="24"/>
          <w:szCs w:val="24"/>
        </w:rPr>
        <w:t>Długo jakoś nie mogł</w:t>
      </w:r>
      <w:r w:rsidR="00F35A58">
        <w:rPr>
          <w:rFonts w:ascii="Times New Roman" w:hAnsi="Times New Roman"/>
          <w:i/>
          <w:sz w:val="24"/>
          <w:szCs w:val="24"/>
        </w:rPr>
        <w:t>a</w:t>
      </w:r>
      <w:r w:rsidRPr="00FF02ED">
        <w:rPr>
          <w:rFonts w:ascii="Times New Roman" w:hAnsi="Times New Roman"/>
          <w:i/>
          <w:sz w:val="24"/>
          <w:szCs w:val="24"/>
        </w:rPr>
        <w:t xml:space="preserve">m się zebrać, żeby coś sensownego ze sobą zrobić. No nie było łatwo. I tak to jest do dzisiaj </w:t>
      </w:r>
      <w:r w:rsidR="007831EB" w:rsidRPr="006A42E8">
        <w:rPr>
          <w:rFonts w:ascii="Times New Roman" w:hAnsi="Times New Roman"/>
          <w:sz w:val="24"/>
          <w:szCs w:val="24"/>
        </w:rPr>
        <w:t>(</w:t>
      </w:r>
      <w:r w:rsidR="007831EB">
        <w:rPr>
          <w:rFonts w:ascii="Times New Roman" w:hAnsi="Times New Roman"/>
          <w:sz w:val="24"/>
          <w:szCs w:val="24"/>
        </w:rPr>
        <w:t>k</w:t>
      </w:r>
      <w:r w:rsidR="007831EB" w:rsidRPr="006A42E8">
        <w:rPr>
          <w:rFonts w:ascii="Times New Roman" w:hAnsi="Times New Roman"/>
          <w:sz w:val="24"/>
          <w:szCs w:val="24"/>
        </w:rPr>
        <w:t>obieta z porażeniem mięśnia twarzowego, lat 25)</w:t>
      </w:r>
      <w:r w:rsidR="007831EB">
        <w:rPr>
          <w:rFonts w:ascii="Times New Roman" w:hAnsi="Times New Roman"/>
          <w:sz w:val="24"/>
          <w:szCs w:val="24"/>
        </w:rPr>
        <w:t>.</w:t>
      </w:r>
      <w:r w:rsidR="007831EB" w:rsidRPr="006A42E8">
        <w:rPr>
          <w:rFonts w:ascii="Times New Roman" w:hAnsi="Times New Roman"/>
          <w:sz w:val="24"/>
          <w:szCs w:val="24"/>
        </w:rPr>
        <w:t xml:space="preserve"> </w:t>
      </w:r>
    </w:p>
    <w:p w14:paraId="002791C3" w14:textId="77777777" w:rsidR="007831EB" w:rsidRPr="006A42E8" w:rsidRDefault="007831EB" w:rsidP="007831EB">
      <w:pPr>
        <w:shd w:val="clear" w:color="auto" w:fill="FFFFFF"/>
        <w:spacing w:after="0" w:line="360" w:lineRule="auto"/>
        <w:ind w:right="-2"/>
        <w:jc w:val="both"/>
        <w:rPr>
          <w:rFonts w:ascii="Times New Roman" w:hAnsi="Times New Roman"/>
          <w:i/>
          <w:sz w:val="24"/>
          <w:szCs w:val="24"/>
        </w:rPr>
      </w:pPr>
    </w:p>
    <w:p w14:paraId="090F8311" w14:textId="77777777" w:rsidR="007831EB" w:rsidRPr="006A42E8" w:rsidRDefault="007831EB" w:rsidP="007831EB">
      <w:pPr>
        <w:tabs>
          <w:tab w:val="left" w:pos="7938"/>
          <w:tab w:val="left" w:pos="8364"/>
          <w:tab w:val="left" w:pos="8789"/>
        </w:tabs>
        <w:spacing w:after="0" w:line="360" w:lineRule="auto"/>
        <w:ind w:right="-2"/>
        <w:jc w:val="both"/>
        <w:rPr>
          <w:rFonts w:ascii="Times New Roman" w:hAnsi="Times New Roman"/>
          <w:sz w:val="24"/>
          <w:szCs w:val="24"/>
        </w:rPr>
      </w:pPr>
      <w:r w:rsidRPr="006A42E8">
        <w:rPr>
          <w:rFonts w:ascii="Times New Roman" w:hAnsi="Times New Roman"/>
          <w:i/>
          <w:sz w:val="24"/>
          <w:szCs w:val="24"/>
        </w:rPr>
        <w:t>Unikam patrzenia w lustro. Czasem zapominam o tym</w:t>
      </w:r>
      <w:r>
        <w:rPr>
          <w:rFonts w:ascii="Times New Roman" w:hAnsi="Times New Roman"/>
          <w:i/>
          <w:sz w:val="24"/>
          <w:szCs w:val="24"/>
        </w:rPr>
        <w:t>,</w:t>
      </w:r>
      <w:r w:rsidRPr="006A42E8">
        <w:rPr>
          <w:rFonts w:ascii="Times New Roman" w:hAnsi="Times New Roman"/>
          <w:i/>
          <w:sz w:val="24"/>
          <w:szCs w:val="24"/>
        </w:rPr>
        <w:t xml:space="preserve"> jak wyglądam </w:t>
      </w:r>
      <w:r w:rsidR="00BC2550">
        <w:rPr>
          <w:rFonts w:ascii="Times New Roman" w:hAnsi="Times New Roman"/>
          <w:sz w:val="24"/>
          <w:szCs w:val="24"/>
        </w:rPr>
        <w:t>[…]</w:t>
      </w:r>
      <w:r w:rsidR="004B39A1" w:rsidRPr="004B39A1">
        <w:rPr>
          <w:rFonts w:ascii="Times New Roman" w:hAnsi="Times New Roman"/>
          <w:sz w:val="24"/>
          <w:szCs w:val="24"/>
        </w:rPr>
        <w:t xml:space="preserve"> </w:t>
      </w:r>
      <w:r w:rsidRPr="006A42E8">
        <w:rPr>
          <w:rFonts w:ascii="Times New Roman" w:hAnsi="Times New Roman"/>
          <w:i/>
          <w:sz w:val="24"/>
          <w:szCs w:val="24"/>
        </w:rPr>
        <w:t>jak popatrzę na siebie</w:t>
      </w:r>
      <w:r>
        <w:rPr>
          <w:rFonts w:ascii="Times New Roman" w:hAnsi="Times New Roman"/>
          <w:i/>
          <w:sz w:val="24"/>
          <w:szCs w:val="24"/>
        </w:rPr>
        <w:t>,</w:t>
      </w:r>
      <w:r w:rsidRPr="006A42E8">
        <w:rPr>
          <w:rFonts w:ascii="Times New Roman" w:hAnsi="Times New Roman"/>
          <w:i/>
          <w:sz w:val="24"/>
          <w:szCs w:val="24"/>
        </w:rPr>
        <w:t xml:space="preserve"> od raz</w:t>
      </w:r>
      <w:r>
        <w:rPr>
          <w:rFonts w:ascii="Times New Roman" w:hAnsi="Times New Roman"/>
          <w:i/>
          <w:sz w:val="24"/>
          <w:szCs w:val="24"/>
        </w:rPr>
        <w:t>u</w:t>
      </w:r>
      <w:r w:rsidRPr="006A42E8">
        <w:rPr>
          <w:rFonts w:ascii="Times New Roman" w:hAnsi="Times New Roman"/>
          <w:i/>
          <w:sz w:val="24"/>
          <w:szCs w:val="24"/>
        </w:rPr>
        <w:t xml:space="preserve"> mam dość</w:t>
      </w:r>
      <w:r>
        <w:rPr>
          <w:rFonts w:ascii="Times New Roman" w:hAnsi="Times New Roman"/>
          <w:i/>
          <w:sz w:val="24"/>
          <w:szCs w:val="24"/>
        </w:rPr>
        <w:t xml:space="preserve"> </w:t>
      </w:r>
      <w:r w:rsidRPr="006A42E8">
        <w:rPr>
          <w:rFonts w:ascii="Times New Roman" w:hAnsi="Times New Roman"/>
          <w:sz w:val="24"/>
          <w:szCs w:val="24"/>
        </w:rPr>
        <w:t>(</w:t>
      </w:r>
      <w:r>
        <w:rPr>
          <w:rFonts w:ascii="Times New Roman" w:hAnsi="Times New Roman"/>
          <w:sz w:val="24"/>
          <w:szCs w:val="24"/>
        </w:rPr>
        <w:t>k</w:t>
      </w:r>
      <w:r w:rsidRPr="006A42E8">
        <w:rPr>
          <w:rFonts w:ascii="Times New Roman" w:hAnsi="Times New Roman"/>
          <w:sz w:val="24"/>
          <w:szCs w:val="24"/>
        </w:rPr>
        <w:t>obieta chorująca na łuszczycę, lat 28)</w:t>
      </w:r>
      <w:r>
        <w:rPr>
          <w:rFonts w:ascii="Times New Roman" w:hAnsi="Times New Roman"/>
          <w:sz w:val="24"/>
          <w:szCs w:val="24"/>
        </w:rPr>
        <w:t>.</w:t>
      </w:r>
    </w:p>
    <w:p w14:paraId="3323D083" w14:textId="77777777" w:rsidR="007831EB" w:rsidRPr="006A42E8" w:rsidRDefault="007831EB" w:rsidP="007831EB">
      <w:pPr>
        <w:tabs>
          <w:tab w:val="left" w:pos="7938"/>
          <w:tab w:val="left" w:pos="8364"/>
          <w:tab w:val="left" w:pos="8789"/>
        </w:tabs>
        <w:spacing w:after="0" w:line="360" w:lineRule="auto"/>
        <w:ind w:right="-2"/>
        <w:jc w:val="both"/>
        <w:rPr>
          <w:rFonts w:ascii="Times New Roman" w:hAnsi="Times New Roman"/>
          <w:i/>
          <w:sz w:val="24"/>
          <w:szCs w:val="24"/>
        </w:rPr>
      </w:pPr>
    </w:p>
    <w:p w14:paraId="0002EF53" w14:textId="77777777" w:rsidR="007831EB" w:rsidRPr="006A42E8" w:rsidRDefault="007831EB" w:rsidP="007831EB">
      <w:pPr>
        <w:tabs>
          <w:tab w:val="left" w:pos="7938"/>
          <w:tab w:val="left" w:pos="8364"/>
          <w:tab w:val="left" w:pos="8789"/>
        </w:tabs>
        <w:spacing w:after="0" w:line="360" w:lineRule="auto"/>
        <w:ind w:right="-2"/>
        <w:jc w:val="both"/>
        <w:rPr>
          <w:rFonts w:ascii="Times New Roman" w:hAnsi="Times New Roman"/>
          <w:sz w:val="24"/>
          <w:szCs w:val="24"/>
        </w:rPr>
      </w:pPr>
      <w:r w:rsidRPr="006A42E8">
        <w:rPr>
          <w:rFonts w:ascii="Times New Roman" w:hAnsi="Times New Roman"/>
          <w:i/>
          <w:sz w:val="24"/>
          <w:szCs w:val="24"/>
        </w:rPr>
        <w:t>Akceptuję siebie, jaki mam wybór? Jest, jak jest</w:t>
      </w:r>
      <w:r>
        <w:rPr>
          <w:rFonts w:ascii="Times New Roman" w:hAnsi="Times New Roman"/>
          <w:i/>
          <w:sz w:val="24"/>
          <w:szCs w:val="24"/>
        </w:rPr>
        <w:t xml:space="preserve"> </w:t>
      </w:r>
      <w:r w:rsidRPr="006A42E8">
        <w:rPr>
          <w:rFonts w:ascii="Times New Roman" w:hAnsi="Times New Roman"/>
          <w:sz w:val="24"/>
          <w:szCs w:val="24"/>
        </w:rPr>
        <w:t>(</w:t>
      </w:r>
      <w:r>
        <w:rPr>
          <w:rFonts w:ascii="Times New Roman" w:hAnsi="Times New Roman"/>
          <w:sz w:val="24"/>
          <w:szCs w:val="24"/>
        </w:rPr>
        <w:t>k</w:t>
      </w:r>
      <w:r w:rsidRPr="006A42E8">
        <w:rPr>
          <w:rFonts w:ascii="Times New Roman" w:hAnsi="Times New Roman"/>
          <w:sz w:val="24"/>
          <w:szCs w:val="24"/>
        </w:rPr>
        <w:t>obieta po mastektomii, z nowotworem jajnika, lat 49).</w:t>
      </w:r>
    </w:p>
    <w:p w14:paraId="0BA40129" w14:textId="77777777" w:rsidR="007831EB" w:rsidRPr="006A42E8" w:rsidRDefault="007831EB" w:rsidP="007831EB">
      <w:pPr>
        <w:tabs>
          <w:tab w:val="left" w:pos="7938"/>
          <w:tab w:val="left" w:pos="8364"/>
          <w:tab w:val="left" w:pos="8789"/>
        </w:tabs>
        <w:spacing w:after="0" w:line="360" w:lineRule="auto"/>
        <w:ind w:right="-2"/>
        <w:jc w:val="both"/>
        <w:rPr>
          <w:rFonts w:ascii="Times New Roman" w:hAnsi="Times New Roman"/>
          <w:i/>
          <w:sz w:val="24"/>
          <w:szCs w:val="24"/>
        </w:rPr>
      </w:pPr>
    </w:p>
    <w:p w14:paraId="2DCD2DFE" w14:textId="77777777" w:rsidR="007831EB" w:rsidRPr="006A42E8"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 xml:space="preserve">Wiele badanych kobiet wskazywało, </w:t>
      </w:r>
      <w:r>
        <w:rPr>
          <w:rFonts w:ascii="Times New Roman" w:hAnsi="Times New Roman"/>
          <w:sz w:val="24"/>
          <w:szCs w:val="24"/>
        </w:rPr>
        <w:t>że</w:t>
      </w:r>
      <w:r w:rsidRPr="006A42E8">
        <w:rPr>
          <w:rFonts w:ascii="Times New Roman" w:hAnsi="Times New Roman"/>
          <w:sz w:val="24"/>
          <w:szCs w:val="24"/>
        </w:rPr>
        <w:t xml:space="preserve"> starają się ukryć konsekwencje swojej niepełnosprawności nawet przed najbliższymi. W przypadku niepełnosprawności nabytej odwoływanie się do okresu przed jej wystąpieniem mogło utrudniać i spowalniać przebieg adaptacji. Z drugiej jednak strony, jeśli w tym czasie kobiecie udało się zbudować pozytywny obraz siebie, sprzyjało to przystosowaniu (</w:t>
      </w:r>
      <w:r>
        <w:rPr>
          <w:rFonts w:ascii="Times New Roman" w:hAnsi="Times New Roman"/>
          <w:sz w:val="24"/>
          <w:szCs w:val="24"/>
        </w:rPr>
        <w:t>p</w:t>
      </w:r>
      <w:r w:rsidRPr="006A42E8">
        <w:rPr>
          <w:rFonts w:ascii="Times New Roman" w:hAnsi="Times New Roman"/>
          <w:sz w:val="24"/>
          <w:szCs w:val="24"/>
        </w:rPr>
        <w:t xml:space="preserve">or. Piątek 2015a: 183). </w:t>
      </w:r>
    </w:p>
    <w:p w14:paraId="10B95E94" w14:textId="77777777" w:rsidR="00F30297" w:rsidRPr="00F30297" w:rsidRDefault="00F30297" w:rsidP="00F30297">
      <w:pPr>
        <w:shd w:val="clear" w:color="auto" w:fill="FFFFFF"/>
        <w:spacing w:after="0" w:line="360" w:lineRule="auto"/>
        <w:ind w:right="29"/>
        <w:jc w:val="both"/>
        <w:rPr>
          <w:rFonts w:ascii="Times New Roman" w:hAnsi="Times New Roman"/>
          <w:sz w:val="24"/>
          <w:szCs w:val="24"/>
        </w:rPr>
      </w:pPr>
      <w:r w:rsidRPr="00F30297">
        <w:rPr>
          <w:rFonts w:ascii="Times New Roman" w:hAnsi="Times New Roman"/>
          <w:sz w:val="24"/>
          <w:szCs w:val="24"/>
        </w:rPr>
        <w:t>Przedstawiane badanie mieści się w nurcie koncentrującym się na „życiu z chorobą”, na określeniu jakości życia osób chorujących na mukowiscydozę w różnych momentach życia (</w:t>
      </w:r>
      <w:r w:rsidRPr="00F30297">
        <w:rPr>
          <w:rFonts w:ascii="Times New Roman" w:hAnsi="Times New Roman"/>
          <w:sz w:val="24"/>
          <w:szCs w:val="24"/>
          <w:highlight w:val="yellow"/>
        </w:rPr>
        <w:t>rys. 2</w:t>
      </w:r>
      <w:r w:rsidRPr="00F30297">
        <w:rPr>
          <w:rFonts w:ascii="Times New Roman" w:hAnsi="Times New Roman"/>
          <w:sz w:val="24"/>
          <w:szCs w:val="24"/>
        </w:rPr>
        <w:t xml:space="preserve">). </w:t>
      </w:r>
    </w:p>
    <w:p w14:paraId="326E0E36" w14:textId="77777777" w:rsidR="007831EB" w:rsidRPr="00F30297" w:rsidRDefault="00A618B8" w:rsidP="00A11DC4">
      <w:pPr>
        <w:shd w:val="clear" w:color="auto" w:fill="FFFFFF"/>
        <w:spacing w:after="0" w:line="360" w:lineRule="auto"/>
        <w:ind w:right="29"/>
        <w:jc w:val="both"/>
        <w:rPr>
          <w:rFonts w:ascii="Times New Roman" w:hAnsi="Times New Roman"/>
          <w:b/>
          <w:sz w:val="24"/>
          <w:szCs w:val="24"/>
        </w:rPr>
      </w:pPr>
      <w:r>
        <w:rPr>
          <w:rFonts w:ascii="Times New Roman" w:hAnsi="Times New Roman"/>
          <w:b/>
          <w:noProof/>
          <w:sz w:val="24"/>
          <w:szCs w:val="24"/>
          <w:lang w:eastAsia="pl-PL"/>
        </w:rPr>
        <w:drawing>
          <wp:inline distT="0" distB="0" distL="0" distR="0" wp14:anchorId="7C7D86ED" wp14:editId="76AE3D76">
            <wp:extent cx="5803900" cy="1341120"/>
            <wp:effectExtent l="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3900" cy="1341120"/>
                    </a:xfrm>
                    <a:prstGeom prst="rect">
                      <a:avLst/>
                    </a:prstGeom>
                    <a:noFill/>
                  </pic:spPr>
                </pic:pic>
              </a:graphicData>
            </a:graphic>
          </wp:inline>
        </w:drawing>
      </w:r>
    </w:p>
    <w:p w14:paraId="4323FB2B" w14:textId="77777777" w:rsidR="00F30297" w:rsidRPr="006A42E8" w:rsidRDefault="00F30297" w:rsidP="00F30297">
      <w:pPr>
        <w:shd w:val="clear" w:color="auto" w:fill="FFFFFF"/>
        <w:spacing w:after="0" w:line="360" w:lineRule="auto"/>
        <w:ind w:right="29"/>
        <w:jc w:val="both"/>
        <w:rPr>
          <w:rFonts w:ascii="Times New Roman" w:hAnsi="Times New Roman"/>
          <w:sz w:val="24"/>
          <w:szCs w:val="24"/>
        </w:rPr>
      </w:pPr>
      <w:commentRangeStart w:id="7"/>
      <w:r w:rsidRPr="00F30297">
        <w:rPr>
          <w:rFonts w:ascii="Times New Roman" w:hAnsi="Times New Roman"/>
          <w:sz w:val="24"/>
          <w:szCs w:val="24"/>
        </w:rPr>
        <w:t xml:space="preserve">Rys. </w:t>
      </w:r>
      <w:r>
        <w:rPr>
          <w:rFonts w:ascii="Times New Roman" w:hAnsi="Times New Roman"/>
          <w:sz w:val="24"/>
          <w:szCs w:val="24"/>
        </w:rPr>
        <w:t>2</w:t>
      </w:r>
      <w:r w:rsidRPr="00F30297">
        <w:rPr>
          <w:rFonts w:ascii="Times New Roman" w:hAnsi="Times New Roman"/>
          <w:sz w:val="24"/>
          <w:szCs w:val="24"/>
        </w:rPr>
        <w:t>. Proces wpływu choroby na jakość życia</w:t>
      </w:r>
      <w:commentRangeEnd w:id="7"/>
      <w:r w:rsidR="00262BB5">
        <w:rPr>
          <w:rStyle w:val="Odwoaniedokomentarza"/>
        </w:rPr>
        <w:commentReference w:id="7"/>
      </w:r>
    </w:p>
    <w:p w14:paraId="56677A62" w14:textId="77777777" w:rsidR="00F30297" w:rsidRDefault="00F30297" w:rsidP="007831EB">
      <w:pPr>
        <w:spacing w:after="0" w:line="360" w:lineRule="auto"/>
        <w:jc w:val="both"/>
        <w:rPr>
          <w:rFonts w:ascii="Times New Roman" w:hAnsi="Times New Roman"/>
          <w:sz w:val="24"/>
          <w:szCs w:val="24"/>
        </w:rPr>
      </w:pPr>
    </w:p>
    <w:p w14:paraId="5ACEF2AB" w14:textId="77777777" w:rsidR="007831EB" w:rsidRPr="006A42E8" w:rsidRDefault="00F30297" w:rsidP="007831EB">
      <w:pPr>
        <w:spacing w:after="0" w:line="360" w:lineRule="auto"/>
        <w:jc w:val="both"/>
        <w:rPr>
          <w:rFonts w:ascii="Times New Roman" w:hAnsi="Times New Roman"/>
          <w:sz w:val="24"/>
          <w:szCs w:val="24"/>
        </w:rPr>
      </w:pPr>
      <w:r w:rsidRPr="00F30297">
        <w:rPr>
          <w:rFonts w:ascii="Times New Roman" w:hAnsi="Times New Roman"/>
          <w:sz w:val="24"/>
          <w:szCs w:val="24"/>
        </w:rPr>
        <w:t>Celem prezentowanego badania była ocena różnych wymiarów jakości życia uwarunkowanej stanem zdrowia oraz codziennego funkcjonowania chorych na mukowiscydozę w zależności od wieku chorujących. Podstawą badania była weryfikacja hipotezy, że przynależność do różnych grup wiekowych w odmienny sposób wpływa na różne wymiary jakości życia uwarunkowanej mukowiscydozą.</w:t>
      </w:r>
    </w:p>
    <w:p w14:paraId="504067A2" w14:textId="77777777" w:rsidR="007831EB" w:rsidRPr="006A42E8"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W procesie adaptacji do niepełnosprawności znaczenie miał także zakres wsparcia rodziny, partnera, przyjaciół. Badania ujawniły, ż</w:t>
      </w:r>
      <w:r>
        <w:rPr>
          <w:rFonts w:ascii="Times New Roman" w:hAnsi="Times New Roman"/>
          <w:sz w:val="24"/>
          <w:szCs w:val="24"/>
        </w:rPr>
        <w:t>e</w:t>
      </w:r>
      <w:r w:rsidRPr="006A42E8">
        <w:rPr>
          <w:rFonts w:ascii="Times New Roman" w:hAnsi="Times New Roman"/>
          <w:sz w:val="24"/>
          <w:szCs w:val="24"/>
        </w:rPr>
        <w:t xml:space="preserve"> kobiety, które pozostawały w związkach, przez co najmniej kilka lat i oceniały je jako satysfakcjonujące, łatwiej odnajdywały się w nowej sytuacji po wystąpieniu niepełnosprawności, szybciej też stabilizowały się ich relacje z partnerem. Dzięki temu sprawniej przebiegała reorganizacja życia rodzinnego i now</w:t>
      </w:r>
      <w:r>
        <w:rPr>
          <w:rFonts w:ascii="Times New Roman" w:hAnsi="Times New Roman"/>
          <w:sz w:val="24"/>
          <w:szCs w:val="24"/>
        </w:rPr>
        <w:t>y podział obowiązków domowych (z</w:t>
      </w:r>
      <w:r w:rsidRPr="006A42E8">
        <w:rPr>
          <w:rFonts w:ascii="Times New Roman" w:hAnsi="Times New Roman"/>
          <w:sz w:val="24"/>
          <w:szCs w:val="24"/>
        </w:rPr>
        <w:t>ob. Piątek 2012b: 163</w:t>
      </w:r>
      <w:r>
        <w:rPr>
          <w:rFonts w:ascii="Times New Roman" w:hAnsi="Times New Roman"/>
          <w:sz w:val="24"/>
          <w:szCs w:val="24"/>
        </w:rPr>
        <w:t>–</w:t>
      </w:r>
      <w:r w:rsidRPr="006A42E8">
        <w:rPr>
          <w:rFonts w:ascii="Times New Roman" w:hAnsi="Times New Roman"/>
          <w:sz w:val="24"/>
          <w:szCs w:val="24"/>
        </w:rPr>
        <w:t xml:space="preserve">169). </w:t>
      </w:r>
    </w:p>
    <w:p w14:paraId="000D5718" w14:textId="77777777" w:rsidR="00462D9D" w:rsidRDefault="00A50066" w:rsidP="00462D9D">
      <w:pPr>
        <w:autoSpaceDE w:val="0"/>
        <w:autoSpaceDN w:val="0"/>
        <w:adjustRightInd w:val="0"/>
        <w:spacing w:after="0" w:line="360" w:lineRule="auto"/>
        <w:jc w:val="both"/>
        <w:rPr>
          <w:rFonts w:ascii="Times New Roman" w:hAnsi="Times New Roman"/>
          <w:sz w:val="24"/>
          <w:szCs w:val="24"/>
        </w:rPr>
      </w:pPr>
      <w:r w:rsidRPr="00A50066">
        <w:rPr>
          <w:rFonts w:ascii="Times New Roman" w:hAnsi="Times New Roman"/>
          <w:sz w:val="24"/>
          <w:szCs w:val="24"/>
        </w:rPr>
        <w:t>Izolacja społeczna, którą odczuwali badani w związku z objawami mukowiscydozy, miała wpływ na wiele wymiarów ich jakości życia. Jakość życia chorych na mukowiscydozę (bez względu na wiek) była niższa wśród tych osób, które miały poczucie izolacji społecznej, choć w odniesieniu do niektórych wymiarów jakości życia różnice te nie były istotne statystycznie. W przypadku funkcjonowania fizycznego, jak również funkcjonowania społecznego (w szkole w przypadku dzieci), w każdej z grup wiekowych istotnie mniejszy odsetek osób z poczuciem izolacji społecznej wysoko oceniał swoją jakość życia w tym wymiarze, podczas gdy w odniesieniu do witalności istotne różnice można zaobserwować jedynie u dzieci. Istotnie mniejszy odsetek nastolatków zgłaszających poczucie izolacji społecznej wysoko oceniał swoje zdrowie oraz przyznawał, że nie przybiera na wadze, podczas gdy wśród osób dorosłych i dzieci istotnie mniejszy odsetek osób potwierdzających poczucie izolacji społecznej oceniał pozytywnie funkcjonowanie układu oddechowego</w:t>
      </w:r>
      <w:r>
        <w:rPr>
          <w:rFonts w:ascii="Times New Roman" w:hAnsi="Times New Roman"/>
          <w:sz w:val="24"/>
          <w:szCs w:val="24"/>
        </w:rPr>
        <w:t xml:space="preserve">. </w:t>
      </w:r>
      <w:r w:rsidR="002320D1" w:rsidRPr="002320D1">
        <w:rPr>
          <w:rFonts w:ascii="Times New Roman" w:hAnsi="Times New Roman"/>
          <w:sz w:val="24"/>
          <w:szCs w:val="24"/>
        </w:rPr>
        <w:t xml:space="preserve">Sposób postrzegania stanu zdrowia miał istotne znaczenie tylko dla chorych nastolatków, wśród których gorsze oceny stanu zdrowia pozostawały w relacji z poczuciem stygmatyzacji. Równocześnie zarówno wśród nastolatków, jak i osób dorosłych, badani potwierdzający poczucie stygmatyzacji oceniali niżej jakość swojego życia w kontekście ograniczeń związanych z leczeniem </w:t>
      </w:r>
      <w:r w:rsidR="00DB35A0" w:rsidRPr="00DB35A0">
        <w:rPr>
          <w:rFonts w:ascii="Times New Roman" w:hAnsi="Times New Roman"/>
          <w:sz w:val="24"/>
          <w:szCs w:val="24"/>
        </w:rPr>
        <w:t>(</w:t>
      </w:r>
      <w:r w:rsidR="00DB35A0" w:rsidRPr="00DB35A0">
        <w:rPr>
          <w:rFonts w:ascii="Times New Roman" w:hAnsi="Times New Roman"/>
          <w:sz w:val="24"/>
          <w:szCs w:val="24"/>
          <w:highlight w:val="yellow"/>
        </w:rPr>
        <w:t xml:space="preserve">tab. </w:t>
      </w:r>
      <w:r w:rsidR="00462D9D" w:rsidRPr="00462D9D">
        <w:rPr>
          <w:rFonts w:ascii="Times New Roman" w:hAnsi="Times New Roman"/>
          <w:sz w:val="24"/>
          <w:szCs w:val="24"/>
          <w:highlight w:val="yellow"/>
        </w:rPr>
        <w:t>1</w:t>
      </w:r>
      <w:r w:rsidR="00DB35A0" w:rsidRPr="00DB35A0">
        <w:rPr>
          <w:rFonts w:ascii="Times New Roman" w:hAnsi="Times New Roman"/>
          <w:sz w:val="24"/>
          <w:szCs w:val="24"/>
        </w:rPr>
        <w:t>).</w:t>
      </w:r>
    </w:p>
    <w:p w14:paraId="1AD2D61D" w14:textId="77777777" w:rsidR="00462D9D" w:rsidRDefault="00462D9D" w:rsidP="00462D9D">
      <w:pPr>
        <w:autoSpaceDE w:val="0"/>
        <w:autoSpaceDN w:val="0"/>
        <w:adjustRightInd w:val="0"/>
        <w:spacing w:after="0" w:line="360" w:lineRule="auto"/>
        <w:jc w:val="both"/>
        <w:rPr>
          <w:rFonts w:ascii="Times New Roman" w:hAnsi="Times New Roman"/>
          <w:sz w:val="24"/>
          <w:szCs w:val="24"/>
        </w:rPr>
      </w:pPr>
    </w:p>
    <w:p w14:paraId="256CD853" w14:textId="77777777" w:rsidR="00DB35A0" w:rsidRDefault="00DB35A0" w:rsidP="00462D9D">
      <w:pPr>
        <w:autoSpaceDE w:val="0"/>
        <w:autoSpaceDN w:val="0"/>
        <w:adjustRightInd w:val="0"/>
        <w:spacing w:after="0" w:line="360" w:lineRule="auto"/>
        <w:jc w:val="both"/>
        <w:rPr>
          <w:rFonts w:ascii="Times New Roman" w:hAnsi="Times New Roman"/>
          <w:sz w:val="24"/>
          <w:szCs w:val="24"/>
        </w:rPr>
      </w:pPr>
      <w:r w:rsidRPr="00DB35A0">
        <w:rPr>
          <w:rFonts w:ascii="Times New Roman" w:hAnsi="Times New Roman"/>
          <w:sz w:val="24"/>
          <w:szCs w:val="24"/>
        </w:rPr>
        <w:t xml:space="preserve">Tabela </w:t>
      </w:r>
      <w:r w:rsidR="00462D9D">
        <w:rPr>
          <w:rFonts w:ascii="Times New Roman" w:hAnsi="Times New Roman"/>
          <w:sz w:val="24"/>
          <w:szCs w:val="24"/>
        </w:rPr>
        <w:t xml:space="preserve">1. </w:t>
      </w:r>
      <w:r w:rsidR="00FF02ED" w:rsidRPr="00FF02ED">
        <w:rPr>
          <w:rFonts w:ascii="Times New Roman" w:hAnsi="Times New Roman"/>
          <w:sz w:val="24"/>
          <w:szCs w:val="24"/>
        </w:rPr>
        <w:t>Poczucie stygmatyzacji a jakość życia</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1133"/>
        <w:gridCol w:w="1134"/>
        <w:gridCol w:w="1233"/>
        <w:gridCol w:w="1177"/>
        <w:gridCol w:w="1111"/>
        <w:gridCol w:w="1123"/>
      </w:tblGrid>
      <w:tr w:rsidR="002320D1" w:rsidRPr="00FF02ED" w14:paraId="331C3612" w14:textId="77777777" w:rsidTr="00A50066">
        <w:tc>
          <w:tcPr>
            <w:tcW w:w="2374" w:type="dxa"/>
            <w:vMerge w:val="restart"/>
            <w:tcBorders>
              <w:top w:val="single" w:sz="4" w:space="0" w:color="auto"/>
              <w:left w:val="single" w:sz="4" w:space="0" w:color="auto"/>
              <w:right w:val="single" w:sz="4" w:space="0" w:color="auto"/>
            </w:tcBorders>
            <w:vAlign w:val="center"/>
            <w:hideMark/>
          </w:tcPr>
          <w:p w14:paraId="5BB3BBB2" w14:textId="77777777" w:rsidR="002320D1" w:rsidRPr="00FF02ED" w:rsidRDefault="002320D1"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bCs/>
                <w:sz w:val="24"/>
                <w:szCs w:val="24"/>
              </w:rPr>
              <w:t>Wymiar jakości życia</w:t>
            </w:r>
          </w:p>
        </w:tc>
        <w:tc>
          <w:tcPr>
            <w:tcW w:w="2267" w:type="dxa"/>
            <w:gridSpan w:val="2"/>
            <w:tcBorders>
              <w:top w:val="single" w:sz="4" w:space="0" w:color="auto"/>
              <w:left w:val="single" w:sz="4" w:space="0" w:color="auto"/>
              <w:bottom w:val="single" w:sz="4" w:space="0" w:color="auto"/>
              <w:right w:val="single" w:sz="4" w:space="0" w:color="auto"/>
            </w:tcBorders>
            <w:vAlign w:val="center"/>
            <w:hideMark/>
          </w:tcPr>
          <w:p w14:paraId="193489D0" w14:textId="77777777" w:rsidR="002320D1" w:rsidRPr="00FF02ED" w:rsidRDefault="002320D1"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bCs/>
                <w:sz w:val="24"/>
                <w:szCs w:val="24"/>
              </w:rPr>
              <w:t>Dzieci [%]</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F97A47E" w14:textId="77777777" w:rsidR="002320D1" w:rsidRPr="00FF02ED" w:rsidRDefault="002320D1"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bCs/>
                <w:sz w:val="24"/>
                <w:szCs w:val="24"/>
              </w:rPr>
              <w:t>Nastolatkowie [%]</w:t>
            </w:r>
          </w:p>
        </w:tc>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478E2487" w14:textId="77777777" w:rsidR="002320D1" w:rsidRPr="00FF02ED" w:rsidRDefault="002320D1"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bCs/>
                <w:sz w:val="24"/>
                <w:szCs w:val="24"/>
              </w:rPr>
              <w:t>Dorośli [%]</w:t>
            </w:r>
          </w:p>
        </w:tc>
      </w:tr>
      <w:tr w:rsidR="002320D1" w:rsidRPr="00FF02ED" w14:paraId="6467BBB3" w14:textId="77777777" w:rsidTr="00A50066">
        <w:tc>
          <w:tcPr>
            <w:tcW w:w="2374" w:type="dxa"/>
            <w:vMerge/>
            <w:tcBorders>
              <w:left w:val="single" w:sz="4" w:space="0" w:color="auto"/>
              <w:right w:val="single" w:sz="4" w:space="0" w:color="auto"/>
            </w:tcBorders>
            <w:vAlign w:val="center"/>
            <w:hideMark/>
          </w:tcPr>
          <w:p w14:paraId="5C532103" w14:textId="77777777" w:rsidR="002320D1" w:rsidRPr="00FF02ED" w:rsidRDefault="002320D1" w:rsidP="00A50066">
            <w:pPr>
              <w:autoSpaceDE w:val="0"/>
              <w:autoSpaceDN w:val="0"/>
              <w:adjustRightInd w:val="0"/>
              <w:spacing w:after="0" w:line="360" w:lineRule="auto"/>
              <w:jc w:val="center"/>
              <w:rPr>
                <w:rFonts w:ascii="Times New Roman" w:hAnsi="Times New Roman"/>
                <w:sz w:val="24"/>
                <w:szCs w:val="24"/>
              </w:rPr>
            </w:pPr>
          </w:p>
        </w:tc>
        <w:tc>
          <w:tcPr>
            <w:tcW w:w="6911" w:type="dxa"/>
            <w:gridSpan w:val="6"/>
            <w:tcBorders>
              <w:top w:val="single" w:sz="4" w:space="0" w:color="auto"/>
              <w:left w:val="single" w:sz="4" w:space="0" w:color="auto"/>
              <w:bottom w:val="single" w:sz="4" w:space="0" w:color="auto"/>
              <w:right w:val="single" w:sz="4" w:space="0" w:color="auto"/>
            </w:tcBorders>
            <w:vAlign w:val="center"/>
            <w:hideMark/>
          </w:tcPr>
          <w:p w14:paraId="7C264D13" w14:textId="77777777" w:rsidR="002320D1" w:rsidRPr="00FF02ED" w:rsidRDefault="00A50066" w:rsidP="00A50066">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p</w:t>
            </w:r>
            <w:r w:rsidR="002320D1" w:rsidRPr="00FF02ED">
              <w:rPr>
                <w:rFonts w:ascii="Times New Roman" w:hAnsi="Times New Roman"/>
                <w:sz w:val="24"/>
                <w:szCs w:val="24"/>
              </w:rPr>
              <w:t>oczucie stygmatyzacji</w:t>
            </w:r>
          </w:p>
        </w:tc>
      </w:tr>
      <w:tr w:rsidR="002320D1" w:rsidRPr="00FF02ED" w14:paraId="0E2AD9F7" w14:textId="77777777" w:rsidTr="00A50066">
        <w:trPr>
          <w:trHeight w:val="838"/>
        </w:trPr>
        <w:tc>
          <w:tcPr>
            <w:tcW w:w="2374" w:type="dxa"/>
            <w:vMerge/>
            <w:tcBorders>
              <w:left w:val="single" w:sz="4" w:space="0" w:color="auto"/>
              <w:right w:val="single" w:sz="4" w:space="0" w:color="auto"/>
            </w:tcBorders>
            <w:vAlign w:val="center"/>
            <w:hideMark/>
          </w:tcPr>
          <w:p w14:paraId="7A98AE25" w14:textId="77777777" w:rsidR="002320D1" w:rsidRPr="00FF02ED" w:rsidRDefault="002320D1" w:rsidP="00A50066">
            <w:pPr>
              <w:autoSpaceDE w:val="0"/>
              <w:autoSpaceDN w:val="0"/>
              <w:adjustRightInd w:val="0"/>
              <w:spacing w:after="0" w:line="360" w:lineRule="auto"/>
              <w:jc w:val="center"/>
              <w:rPr>
                <w:rFonts w:ascii="Times New Roman" w:hAnsi="Times New Roman"/>
                <w:sz w:val="24"/>
                <w:szCs w:val="24"/>
              </w:rPr>
            </w:pPr>
          </w:p>
        </w:tc>
        <w:tc>
          <w:tcPr>
            <w:tcW w:w="1133" w:type="dxa"/>
            <w:tcBorders>
              <w:top w:val="single" w:sz="4" w:space="0" w:color="auto"/>
              <w:left w:val="single" w:sz="4" w:space="0" w:color="auto"/>
              <w:right w:val="single" w:sz="4" w:space="0" w:color="auto"/>
            </w:tcBorders>
            <w:vAlign w:val="center"/>
            <w:hideMark/>
          </w:tcPr>
          <w:p w14:paraId="4E5DC5C4" w14:textId="77777777" w:rsidR="002320D1" w:rsidRPr="00FF02ED" w:rsidRDefault="00A50066"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nie</w:t>
            </w:r>
          </w:p>
        </w:tc>
        <w:tc>
          <w:tcPr>
            <w:tcW w:w="1134" w:type="dxa"/>
            <w:tcBorders>
              <w:top w:val="single" w:sz="4" w:space="0" w:color="auto"/>
              <w:left w:val="single" w:sz="4" w:space="0" w:color="auto"/>
              <w:right w:val="single" w:sz="4" w:space="0" w:color="auto"/>
            </w:tcBorders>
            <w:vAlign w:val="center"/>
            <w:hideMark/>
          </w:tcPr>
          <w:p w14:paraId="7E78C1A6" w14:textId="77777777" w:rsidR="002320D1" w:rsidRPr="00FF02ED" w:rsidRDefault="00A50066"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tak</w:t>
            </w:r>
          </w:p>
        </w:tc>
        <w:tc>
          <w:tcPr>
            <w:tcW w:w="1233" w:type="dxa"/>
            <w:tcBorders>
              <w:top w:val="single" w:sz="4" w:space="0" w:color="auto"/>
              <w:left w:val="single" w:sz="4" w:space="0" w:color="auto"/>
              <w:right w:val="single" w:sz="4" w:space="0" w:color="auto"/>
            </w:tcBorders>
            <w:vAlign w:val="center"/>
            <w:hideMark/>
          </w:tcPr>
          <w:p w14:paraId="79A9E826" w14:textId="77777777" w:rsidR="002320D1" w:rsidRPr="00FF02ED" w:rsidRDefault="00A50066"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nie</w:t>
            </w:r>
          </w:p>
        </w:tc>
        <w:tc>
          <w:tcPr>
            <w:tcW w:w="1177" w:type="dxa"/>
            <w:tcBorders>
              <w:top w:val="single" w:sz="4" w:space="0" w:color="auto"/>
              <w:left w:val="single" w:sz="4" w:space="0" w:color="auto"/>
              <w:right w:val="single" w:sz="4" w:space="0" w:color="auto"/>
            </w:tcBorders>
            <w:vAlign w:val="center"/>
            <w:hideMark/>
          </w:tcPr>
          <w:p w14:paraId="063BFAE9" w14:textId="77777777" w:rsidR="002320D1" w:rsidRPr="00FF02ED" w:rsidRDefault="00A50066"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tak</w:t>
            </w:r>
          </w:p>
        </w:tc>
        <w:tc>
          <w:tcPr>
            <w:tcW w:w="1111" w:type="dxa"/>
            <w:tcBorders>
              <w:top w:val="single" w:sz="4" w:space="0" w:color="auto"/>
              <w:left w:val="single" w:sz="4" w:space="0" w:color="auto"/>
              <w:right w:val="single" w:sz="4" w:space="0" w:color="auto"/>
            </w:tcBorders>
            <w:vAlign w:val="center"/>
            <w:hideMark/>
          </w:tcPr>
          <w:p w14:paraId="46156EEC" w14:textId="77777777" w:rsidR="002320D1" w:rsidRPr="00FF02ED" w:rsidRDefault="00A50066"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nie</w:t>
            </w:r>
          </w:p>
        </w:tc>
        <w:tc>
          <w:tcPr>
            <w:tcW w:w="1123" w:type="dxa"/>
            <w:tcBorders>
              <w:top w:val="single" w:sz="4" w:space="0" w:color="auto"/>
              <w:left w:val="single" w:sz="4" w:space="0" w:color="auto"/>
              <w:right w:val="single" w:sz="4" w:space="0" w:color="auto"/>
            </w:tcBorders>
            <w:vAlign w:val="center"/>
            <w:hideMark/>
          </w:tcPr>
          <w:p w14:paraId="3F4D2901" w14:textId="77777777" w:rsidR="002320D1" w:rsidRPr="00FF02ED" w:rsidRDefault="00A50066"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tak</w:t>
            </w:r>
          </w:p>
        </w:tc>
      </w:tr>
      <w:tr w:rsidR="00FF02ED" w:rsidRPr="00FF02ED" w14:paraId="3D0E2474"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8A0F7"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Funkcjonowanie fizyczne</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43DB1B"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96*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395734"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57*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328CE"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90**</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1222F"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50**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91328"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72***</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00B43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36***</w:t>
            </w:r>
          </w:p>
        </w:tc>
      </w:tr>
      <w:tr w:rsidR="00FF02ED" w:rsidRPr="00FF02ED" w14:paraId="0F832B61"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94FC1"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Witalność</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5823F"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26A47"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57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A3F2E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76</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A1182"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46</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6E8BA7"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69***</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F0874A"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27***</w:t>
            </w:r>
          </w:p>
        </w:tc>
      </w:tr>
      <w:tr w:rsidR="00FF02ED" w:rsidRPr="00FF02ED" w14:paraId="6FFAC01D"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3E7B4"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 xml:space="preserve">Stan emocjonalny </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7CB876"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BD5910"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0E9E9E"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86**</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E7EB23"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46**</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349274"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79</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345D4"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83</w:t>
            </w:r>
          </w:p>
        </w:tc>
      </w:tr>
      <w:tr w:rsidR="00FF02ED" w:rsidRPr="00FF02ED" w14:paraId="1F2B66F9"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8FA2C"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 xml:space="preserve">Funkcjonowanie społeczne </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2112C"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99EBF"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3C01EA"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83**</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269DE"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40**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4426CA"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83</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90F59D"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58</w:t>
            </w:r>
          </w:p>
        </w:tc>
      </w:tr>
      <w:tr w:rsidR="00FF02ED" w:rsidRPr="00FF02ED" w14:paraId="1F023056"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1A1740"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Role społeczne</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AE651"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272C3"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D98BA9"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86</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FD70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83</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8A1C7"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92***</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E3034C"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62***</w:t>
            </w:r>
          </w:p>
        </w:tc>
      </w:tr>
      <w:tr w:rsidR="00FF02ED" w:rsidRPr="00FF02ED" w14:paraId="11BB6DDB"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51B49"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Funkcjonowanie w szkole</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49F0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85365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43*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821CDB"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99C1B6"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A90B2B"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1E3A9D"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w:t>
            </w:r>
          </w:p>
        </w:tc>
      </w:tr>
      <w:tr w:rsidR="00FF02ED" w:rsidRPr="00FF02ED" w14:paraId="6D709E95"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7235B6"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Obraz ciała</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836813"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3C7C63"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36*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CD9DA"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72</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BE4BA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42</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68F5C6"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73</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A9781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58</w:t>
            </w:r>
          </w:p>
        </w:tc>
      </w:tr>
      <w:tr w:rsidR="00FF02ED" w:rsidRPr="00FF02ED" w14:paraId="77ED4DD7"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0BBFC"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Postrzeganie zdrowia</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85DC8"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29414"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50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27959D"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78**</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A3736A"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33**</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8F7901"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70</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2210DA"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39</w:t>
            </w:r>
          </w:p>
        </w:tc>
      </w:tr>
      <w:tr w:rsidR="00FF02ED" w:rsidRPr="00FF02ED" w14:paraId="21C2D98B"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D0185B"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Ograniczenia związane z leczeniem</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34095"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38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11990D"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21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296A8D"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63**</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E99378"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25**</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B19D1"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80***</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AA3BBE"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42***</w:t>
            </w:r>
          </w:p>
        </w:tc>
      </w:tr>
      <w:tr w:rsidR="00FF02ED" w:rsidRPr="00FF02ED" w14:paraId="3899D087" w14:textId="77777777" w:rsidTr="00F35A58">
        <w:tc>
          <w:tcPr>
            <w:tcW w:w="23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206417" w14:textId="77777777" w:rsidR="00FF02ED" w:rsidRPr="00FF02ED" w:rsidRDefault="00FF02ED" w:rsidP="00F35A58">
            <w:pPr>
              <w:autoSpaceDE w:val="0"/>
              <w:autoSpaceDN w:val="0"/>
              <w:adjustRightInd w:val="0"/>
              <w:spacing w:after="0" w:line="360" w:lineRule="auto"/>
              <w:rPr>
                <w:rFonts w:ascii="Times New Roman" w:hAnsi="Times New Roman"/>
                <w:sz w:val="24"/>
                <w:szCs w:val="24"/>
              </w:rPr>
            </w:pPr>
            <w:r w:rsidRPr="00FF02ED">
              <w:rPr>
                <w:rFonts w:ascii="Times New Roman" w:hAnsi="Times New Roman"/>
                <w:sz w:val="24"/>
                <w:szCs w:val="24"/>
              </w:rPr>
              <w:t>Funkcjonowanie układu oddechowego</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CA1D8"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91*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9ACFD"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64*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E57BB"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86</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785109"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80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C9B7A2"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76</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96BB3D" w14:textId="77777777" w:rsidR="00FF02ED" w:rsidRPr="00FF02ED" w:rsidRDefault="00FF02ED" w:rsidP="00A50066">
            <w:pPr>
              <w:autoSpaceDE w:val="0"/>
              <w:autoSpaceDN w:val="0"/>
              <w:adjustRightInd w:val="0"/>
              <w:spacing w:after="0" w:line="360" w:lineRule="auto"/>
              <w:jc w:val="center"/>
              <w:rPr>
                <w:rFonts w:ascii="Times New Roman" w:hAnsi="Times New Roman"/>
                <w:sz w:val="24"/>
                <w:szCs w:val="24"/>
              </w:rPr>
            </w:pPr>
            <w:r w:rsidRPr="00FF02ED">
              <w:rPr>
                <w:rFonts w:ascii="Times New Roman" w:hAnsi="Times New Roman"/>
                <w:sz w:val="24"/>
                <w:szCs w:val="24"/>
              </w:rPr>
              <w:t>54</w:t>
            </w:r>
          </w:p>
        </w:tc>
      </w:tr>
    </w:tbl>
    <w:p w14:paraId="7FE19BD0" w14:textId="77777777" w:rsidR="00FF02ED" w:rsidRPr="00FF02ED" w:rsidRDefault="00FF02ED" w:rsidP="002320D1">
      <w:pPr>
        <w:autoSpaceDE w:val="0"/>
        <w:autoSpaceDN w:val="0"/>
        <w:adjustRightInd w:val="0"/>
        <w:spacing w:after="0" w:line="360" w:lineRule="auto"/>
        <w:jc w:val="both"/>
        <w:rPr>
          <w:rFonts w:ascii="Times New Roman" w:hAnsi="Times New Roman"/>
          <w:sz w:val="24"/>
          <w:szCs w:val="24"/>
        </w:rPr>
      </w:pPr>
      <w:commentRangeStart w:id="8"/>
      <w:commentRangeStart w:id="9"/>
      <w:r w:rsidRPr="00FF02ED">
        <w:rPr>
          <w:rFonts w:ascii="Times New Roman" w:hAnsi="Times New Roman"/>
          <w:sz w:val="24"/>
          <w:szCs w:val="24"/>
        </w:rPr>
        <w:t>*</w:t>
      </w:r>
      <w:r w:rsidR="00A50066">
        <w:rPr>
          <w:rFonts w:ascii="Times New Roman" w:hAnsi="Times New Roman"/>
          <w:sz w:val="24"/>
          <w:szCs w:val="24"/>
        </w:rPr>
        <w:t xml:space="preserve"> </w:t>
      </w:r>
      <w:r w:rsidRPr="00FF02ED">
        <w:rPr>
          <w:rFonts w:ascii="Times New Roman" w:hAnsi="Times New Roman"/>
          <w:sz w:val="24"/>
          <w:szCs w:val="24"/>
        </w:rPr>
        <w:t>Różnice istotne statystycznie (</w:t>
      </w:r>
      <w:r w:rsidRPr="00FF02ED">
        <w:rPr>
          <w:rFonts w:ascii="Times New Roman" w:hAnsi="Times New Roman"/>
          <w:i/>
          <w:sz w:val="24"/>
          <w:szCs w:val="24"/>
        </w:rPr>
        <w:t>p</w:t>
      </w:r>
      <w:r w:rsidRPr="00FF02ED">
        <w:rPr>
          <w:rFonts w:ascii="Times New Roman" w:hAnsi="Times New Roman"/>
          <w:sz w:val="24"/>
          <w:szCs w:val="24"/>
        </w:rPr>
        <w:t xml:space="preserve"> &lt; 0,05) pomiędzy dziećmi z poczuciem bycia stygmatyzowanym a dziećmi nieodczuwającymi stygmatyzacji.</w:t>
      </w:r>
    </w:p>
    <w:p w14:paraId="0D23736D" w14:textId="77777777" w:rsidR="00DB35A0" w:rsidRPr="002320D1" w:rsidRDefault="00DB35A0" w:rsidP="002320D1">
      <w:pPr>
        <w:tabs>
          <w:tab w:val="num" w:pos="720"/>
        </w:tabs>
        <w:spacing w:after="0" w:line="360" w:lineRule="auto"/>
        <w:jc w:val="both"/>
        <w:rPr>
          <w:rFonts w:ascii="Times New Roman" w:hAnsi="Times New Roman"/>
          <w:sz w:val="24"/>
          <w:szCs w:val="24"/>
        </w:rPr>
      </w:pPr>
      <w:r w:rsidRPr="002320D1">
        <w:rPr>
          <w:rFonts w:ascii="Times New Roman" w:hAnsi="Times New Roman"/>
          <w:sz w:val="24"/>
          <w:szCs w:val="24"/>
        </w:rPr>
        <w:t>** Różnice istotne statystycznie (</w:t>
      </w:r>
      <w:r w:rsidRPr="002320D1">
        <w:rPr>
          <w:rFonts w:ascii="Times New Roman" w:hAnsi="Times New Roman"/>
          <w:i/>
          <w:sz w:val="24"/>
          <w:szCs w:val="24"/>
        </w:rPr>
        <w:t>p</w:t>
      </w:r>
      <w:r w:rsidRPr="002320D1">
        <w:rPr>
          <w:rFonts w:ascii="Times New Roman" w:hAnsi="Times New Roman"/>
          <w:sz w:val="24"/>
          <w:szCs w:val="24"/>
        </w:rPr>
        <w:t xml:space="preserve"> &lt; 0,05) pomiędzy nastolatkami z poczuciem izolacji społecznej a nastolatkami nie odczuwającymi wyizolowania</w:t>
      </w:r>
      <w:r w:rsidR="00FA1D77">
        <w:rPr>
          <w:rFonts w:ascii="Times New Roman" w:hAnsi="Times New Roman"/>
          <w:sz w:val="24"/>
          <w:szCs w:val="24"/>
        </w:rPr>
        <w:t>.</w:t>
      </w:r>
    </w:p>
    <w:p w14:paraId="240FCFA0" w14:textId="77777777" w:rsidR="00DB35A0" w:rsidRPr="002320D1" w:rsidRDefault="00DB35A0" w:rsidP="002320D1">
      <w:pPr>
        <w:tabs>
          <w:tab w:val="num" w:pos="720"/>
        </w:tabs>
        <w:spacing w:after="0" w:line="360" w:lineRule="auto"/>
        <w:jc w:val="both"/>
        <w:rPr>
          <w:rFonts w:ascii="Times New Roman" w:hAnsi="Times New Roman"/>
          <w:sz w:val="24"/>
          <w:szCs w:val="24"/>
        </w:rPr>
      </w:pPr>
      <w:r w:rsidRPr="002320D1">
        <w:rPr>
          <w:rFonts w:ascii="Times New Roman" w:hAnsi="Times New Roman"/>
          <w:sz w:val="24"/>
          <w:szCs w:val="24"/>
        </w:rPr>
        <w:t>*** Różnice istotne statystycznie (</w:t>
      </w:r>
      <w:r w:rsidRPr="002320D1">
        <w:rPr>
          <w:rFonts w:ascii="Times New Roman" w:hAnsi="Times New Roman"/>
          <w:i/>
          <w:sz w:val="24"/>
          <w:szCs w:val="24"/>
        </w:rPr>
        <w:t>p</w:t>
      </w:r>
      <w:r w:rsidRPr="002320D1">
        <w:rPr>
          <w:rFonts w:ascii="Times New Roman" w:hAnsi="Times New Roman"/>
          <w:sz w:val="24"/>
          <w:szCs w:val="24"/>
        </w:rPr>
        <w:t xml:space="preserve"> &lt; 0,05) pomiędzy dorosłymi z poczuciem izolacji społecznej a dorosłymi nieodczuwającymi wyizolowania</w:t>
      </w:r>
      <w:r w:rsidR="00FA1D77">
        <w:rPr>
          <w:rFonts w:ascii="Times New Roman" w:hAnsi="Times New Roman"/>
          <w:sz w:val="24"/>
          <w:szCs w:val="24"/>
        </w:rPr>
        <w:t>.</w:t>
      </w:r>
    </w:p>
    <w:p w14:paraId="0D9CFB5B" w14:textId="77777777" w:rsidR="00DB35A0" w:rsidRPr="002320D1" w:rsidRDefault="00DB35A0" w:rsidP="002320D1">
      <w:pPr>
        <w:tabs>
          <w:tab w:val="num" w:pos="720"/>
        </w:tabs>
        <w:spacing w:after="0" w:line="360" w:lineRule="auto"/>
        <w:jc w:val="both"/>
        <w:rPr>
          <w:rFonts w:ascii="Times New Roman" w:hAnsi="Times New Roman"/>
          <w:sz w:val="24"/>
          <w:szCs w:val="24"/>
        </w:rPr>
      </w:pPr>
      <w:r w:rsidRPr="002320D1">
        <w:rPr>
          <w:rFonts w:ascii="Times New Roman" w:hAnsi="Times New Roman"/>
          <w:sz w:val="24"/>
          <w:szCs w:val="24"/>
        </w:rPr>
        <w:t>W kolumnach podano odsetki osób oceniających wysoko jakość swojego życia</w:t>
      </w:r>
      <w:r w:rsidR="00FA1D77">
        <w:rPr>
          <w:rFonts w:ascii="Times New Roman" w:hAnsi="Times New Roman"/>
          <w:sz w:val="24"/>
          <w:szCs w:val="24"/>
        </w:rPr>
        <w:t>.</w:t>
      </w:r>
      <w:r w:rsidRPr="002320D1">
        <w:rPr>
          <w:rFonts w:ascii="Times New Roman" w:hAnsi="Times New Roman"/>
          <w:sz w:val="24"/>
          <w:szCs w:val="24"/>
        </w:rPr>
        <w:t xml:space="preserve"> </w:t>
      </w:r>
      <w:commentRangeEnd w:id="8"/>
      <w:r w:rsidR="00D9169A">
        <w:rPr>
          <w:rStyle w:val="Odwoaniedokomentarza"/>
        </w:rPr>
        <w:commentReference w:id="8"/>
      </w:r>
      <w:commentRangeEnd w:id="9"/>
      <w:r w:rsidR="00AD0180">
        <w:rPr>
          <w:rStyle w:val="Odwoaniedokomentarza"/>
        </w:rPr>
        <w:commentReference w:id="9"/>
      </w:r>
    </w:p>
    <w:p w14:paraId="5A637772" w14:textId="77777777" w:rsidR="00462D9D" w:rsidRPr="002320D1" w:rsidRDefault="00462D9D" w:rsidP="00462D9D">
      <w:pPr>
        <w:shd w:val="clear" w:color="auto" w:fill="FFFFFF"/>
        <w:spacing w:after="0" w:line="360" w:lineRule="auto"/>
        <w:ind w:right="29"/>
        <w:jc w:val="both"/>
        <w:rPr>
          <w:rFonts w:ascii="Times New Roman" w:hAnsi="Times New Roman"/>
          <w:sz w:val="24"/>
          <w:szCs w:val="24"/>
        </w:rPr>
      </w:pPr>
    </w:p>
    <w:p w14:paraId="34EA42C1" w14:textId="77777777" w:rsidR="007831EB" w:rsidRPr="006A42E8" w:rsidRDefault="00FA1D77" w:rsidP="00462D9D">
      <w:pPr>
        <w:shd w:val="clear" w:color="auto" w:fill="FFFFFF"/>
        <w:spacing w:after="0" w:line="360" w:lineRule="auto"/>
        <w:ind w:right="29"/>
        <w:jc w:val="both"/>
        <w:rPr>
          <w:rFonts w:ascii="Times New Roman" w:hAnsi="Times New Roman"/>
          <w:sz w:val="24"/>
          <w:szCs w:val="24"/>
        </w:rPr>
      </w:pPr>
      <w:r>
        <w:rPr>
          <w:rFonts w:ascii="Times New Roman" w:hAnsi="Times New Roman"/>
          <w:sz w:val="24"/>
          <w:szCs w:val="24"/>
        </w:rPr>
        <w:t>Równie ważnym</w:t>
      </w:r>
      <w:r w:rsidR="007831EB" w:rsidRPr="006A42E8">
        <w:rPr>
          <w:rFonts w:ascii="Times New Roman" w:hAnsi="Times New Roman"/>
          <w:sz w:val="24"/>
          <w:szCs w:val="24"/>
        </w:rPr>
        <w:t xml:space="preserve"> jak wcześniej wymienione czynnikiem wpływającym na przebieg adaptacji i integracji z niepełnosprawnością była aktywność zawodowa. W większości przypadków </w:t>
      </w:r>
      <w:r w:rsidR="00A50066">
        <w:rPr>
          <w:rFonts w:ascii="Times New Roman" w:hAnsi="Times New Roman"/>
          <w:sz w:val="24"/>
          <w:szCs w:val="24"/>
        </w:rPr>
        <w:t>osoby</w:t>
      </w:r>
      <w:r w:rsidR="007831EB" w:rsidRPr="006A42E8">
        <w:rPr>
          <w:rFonts w:ascii="Times New Roman" w:hAnsi="Times New Roman"/>
          <w:sz w:val="24"/>
          <w:szCs w:val="24"/>
        </w:rPr>
        <w:t xml:space="preserve"> pracujące wskazywały na terapeutyczny wymiar pracy. Często jednak kontynuacja zatrudnienia po wystąpieniu niepełnosprawności wiązała się z koniecznością przekwalifikowania, zmiany miejsca zatrudnienia lub dostosowania stanowiska do potrzeb osoby niepełnosprawnej. </w:t>
      </w:r>
    </w:p>
    <w:p w14:paraId="1A0FC700" w14:textId="77777777" w:rsidR="007831EB" w:rsidRDefault="007831EB" w:rsidP="00462D9D">
      <w:pPr>
        <w:shd w:val="clear" w:color="auto" w:fill="FFFFFF"/>
        <w:spacing w:after="0" w:line="360" w:lineRule="auto"/>
        <w:ind w:right="29"/>
        <w:jc w:val="both"/>
        <w:rPr>
          <w:rFonts w:ascii="Times New Roman" w:hAnsi="Times New Roman"/>
          <w:sz w:val="24"/>
          <w:szCs w:val="24"/>
        </w:rPr>
      </w:pPr>
      <w:r w:rsidRPr="006A42E8">
        <w:rPr>
          <w:rFonts w:ascii="Times New Roman" w:hAnsi="Times New Roman"/>
          <w:sz w:val="24"/>
          <w:szCs w:val="24"/>
        </w:rPr>
        <w:t>Istotę pracy, w kontekście funkcjonowania osób z niepełnosprawnością, akcentowała</w:t>
      </w:r>
      <w:r w:rsidR="00B01C42">
        <w:rPr>
          <w:rFonts w:ascii="Times New Roman" w:hAnsi="Times New Roman"/>
          <w:sz w:val="24"/>
          <w:szCs w:val="24"/>
        </w:rPr>
        <w:t xml:space="preserve"> </w:t>
      </w:r>
      <w:r w:rsidRPr="006A42E8">
        <w:rPr>
          <w:rFonts w:ascii="Times New Roman" w:hAnsi="Times New Roman"/>
          <w:sz w:val="24"/>
          <w:szCs w:val="24"/>
        </w:rPr>
        <w:t>również, analiz</w:t>
      </w:r>
      <w:r>
        <w:rPr>
          <w:rFonts w:ascii="Times New Roman" w:hAnsi="Times New Roman"/>
          <w:sz w:val="24"/>
          <w:szCs w:val="24"/>
        </w:rPr>
        <w:t>ując</w:t>
      </w:r>
      <w:r w:rsidRPr="006A42E8">
        <w:rPr>
          <w:rFonts w:ascii="Times New Roman" w:hAnsi="Times New Roman"/>
          <w:sz w:val="24"/>
          <w:szCs w:val="24"/>
        </w:rPr>
        <w:t xml:space="preserve"> pamiętnik</w:t>
      </w:r>
      <w:r>
        <w:rPr>
          <w:rFonts w:ascii="Times New Roman" w:hAnsi="Times New Roman"/>
          <w:sz w:val="24"/>
          <w:szCs w:val="24"/>
        </w:rPr>
        <w:t>i</w:t>
      </w:r>
      <w:r w:rsidRPr="006A42E8">
        <w:rPr>
          <w:rFonts w:ascii="Times New Roman" w:hAnsi="Times New Roman"/>
          <w:sz w:val="24"/>
          <w:szCs w:val="24"/>
        </w:rPr>
        <w:t xml:space="preserve"> kobiet niepełnosprawnych, Maria Chodkowska (1993), </w:t>
      </w:r>
      <w:r>
        <w:rPr>
          <w:rFonts w:ascii="Times New Roman" w:hAnsi="Times New Roman"/>
          <w:sz w:val="24"/>
          <w:szCs w:val="24"/>
        </w:rPr>
        <w:t>która zauważyła</w:t>
      </w:r>
      <w:r w:rsidR="00FA1D77">
        <w:rPr>
          <w:rFonts w:ascii="Times New Roman" w:hAnsi="Times New Roman"/>
          <w:sz w:val="24"/>
          <w:szCs w:val="24"/>
        </w:rPr>
        <w:t>, że</w:t>
      </w:r>
      <w:r w:rsidRPr="006A42E8">
        <w:rPr>
          <w:rFonts w:ascii="Times New Roman" w:hAnsi="Times New Roman"/>
          <w:sz w:val="24"/>
          <w:szCs w:val="24"/>
        </w:rPr>
        <w:t xml:space="preserve">: </w:t>
      </w:r>
    </w:p>
    <w:p w14:paraId="6A51F927" w14:textId="77777777" w:rsidR="00F35A58" w:rsidRDefault="00F35A58" w:rsidP="00462D9D">
      <w:pPr>
        <w:shd w:val="clear" w:color="auto" w:fill="FFFFFF"/>
        <w:spacing w:after="0" w:line="360" w:lineRule="auto"/>
        <w:ind w:right="29"/>
        <w:jc w:val="both"/>
        <w:rPr>
          <w:rFonts w:ascii="Times New Roman" w:hAnsi="Times New Roman"/>
          <w:sz w:val="24"/>
          <w:szCs w:val="24"/>
        </w:rPr>
      </w:pPr>
    </w:p>
    <w:p w14:paraId="65D0492C" w14:textId="77777777" w:rsidR="00813701" w:rsidRPr="00A11DC4" w:rsidRDefault="004B39A1">
      <w:pPr>
        <w:shd w:val="clear" w:color="auto" w:fill="FFFFFF"/>
        <w:spacing w:after="0" w:line="360" w:lineRule="auto"/>
        <w:ind w:right="29"/>
        <w:jc w:val="both"/>
        <w:rPr>
          <w:rFonts w:ascii="Times New Roman" w:hAnsi="Times New Roman"/>
          <w:color w:val="FF0000"/>
          <w:sz w:val="24"/>
          <w:szCs w:val="24"/>
        </w:rPr>
      </w:pPr>
      <w:r w:rsidRPr="00A11DC4">
        <w:rPr>
          <w:rFonts w:ascii="Times New Roman" w:hAnsi="Times New Roman"/>
          <w:color w:val="FF0000"/>
          <w:sz w:val="24"/>
          <w:szCs w:val="24"/>
        </w:rPr>
        <w:t xml:space="preserve">nawet jeśli wspominają o problemach zdrowotnych utrudniających realizację roli zawodowej zgodnie z oczekiwaniami, podkreślają równocześnie zdecydowaną przewagę korzyści osiąganych z jej pełnienia, w tym także i terapeutycznych. Jeszcze bardziej widoczne jest biopozytywne znaczenie wartości wiążących się z pracą w wypowiedziach tych uczestniczek konkursu, które w ostatnim czasie musiały przejść na rentę ze względu na trudności ekonomiczne zakładów </w:t>
      </w:r>
      <w:r w:rsidR="00BC2550" w:rsidRPr="00A11DC4">
        <w:rPr>
          <w:rFonts w:ascii="Times New Roman" w:hAnsi="Times New Roman"/>
          <w:color w:val="FF0000"/>
          <w:sz w:val="24"/>
          <w:szCs w:val="24"/>
        </w:rPr>
        <w:t>[…]</w:t>
      </w:r>
      <w:r w:rsidRPr="00A11DC4">
        <w:rPr>
          <w:rFonts w:ascii="Times New Roman" w:hAnsi="Times New Roman"/>
          <w:color w:val="FF0000"/>
          <w:sz w:val="24"/>
          <w:szCs w:val="24"/>
        </w:rPr>
        <w:t>, gdzie nierzadko w pierwszej kolejności rozwiązywano umowy właśnie z pracownikami niepełnosprawnymi (Chodkowska 1993: 119).</w:t>
      </w:r>
    </w:p>
    <w:p w14:paraId="02940E6E" w14:textId="77777777" w:rsidR="00A50066" w:rsidRDefault="00A50066" w:rsidP="00462D9D">
      <w:pPr>
        <w:spacing w:after="0" w:line="360" w:lineRule="auto"/>
        <w:jc w:val="both"/>
        <w:rPr>
          <w:rFonts w:ascii="Times New Roman" w:hAnsi="Times New Roman"/>
          <w:sz w:val="24"/>
          <w:szCs w:val="24"/>
        </w:rPr>
      </w:pPr>
    </w:p>
    <w:p w14:paraId="04FA4597" w14:textId="0ED293D7" w:rsidR="00556E9D" w:rsidRDefault="00556E9D" w:rsidP="00462D9D">
      <w:pPr>
        <w:spacing w:after="0" w:line="360" w:lineRule="auto"/>
        <w:jc w:val="both"/>
        <w:rPr>
          <w:rFonts w:ascii="Times New Roman" w:hAnsi="Times New Roman"/>
          <w:sz w:val="24"/>
          <w:szCs w:val="24"/>
        </w:rPr>
      </w:pPr>
      <w:r w:rsidRPr="00556E9D">
        <w:rPr>
          <w:rFonts w:ascii="Times New Roman" w:hAnsi="Times New Roman"/>
          <w:sz w:val="24"/>
          <w:szCs w:val="24"/>
        </w:rPr>
        <w:t xml:space="preserve">Podobnie poczucie bycia stygmatyzowanym przez osoby z otoczenia chorych z mukowiscydozą miało związek z jakością ich życia, a na przyczynę tej stygmatyzacji wskazywano głównie towarzyszący chorobie uporczywy kaszel. W trzech porównywanych grupach wiekowych jakość życia badanych osób z mukowiscydozą była niższa wśród chorych potwierdzających poczucie stygmatyzacji, choć w przypadku niektórych wymiarów jakości życia różnice te nie były istotne statystycznie. W każdej z grup wiekowych poczuciu stygmatyzacji towarzyszyła niska ocena funkcjonowania fizycznego, a w przypadku witalności ta relacja była istotna statystycznie tylko u dorosłych. Nastolatkowie, którzy odbierali siebie jako osoby stygmatyzowane, gorzej oceniali swój stan emocjonalny i funkcjonowanie społeczne niż ich rówieśnicy bez poczucia stygmatyzacji. </w:t>
      </w:r>
    </w:p>
    <w:p w14:paraId="104C6B1B" w14:textId="77777777" w:rsidR="007831EB"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Najczęściej wskazywane w badaniach szanse i zagrożenia funkcjonowani</w:t>
      </w:r>
      <w:r>
        <w:rPr>
          <w:rFonts w:ascii="Times New Roman" w:hAnsi="Times New Roman"/>
          <w:sz w:val="24"/>
          <w:szCs w:val="24"/>
        </w:rPr>
        <w:t>a</w:t>
      </w:r>
      <w:r w:rsidRPr="006A42E8">
        <w:rPr>
          <w:rFonts w:ascii="Times New Roman" w:hAnsi="Times New Roman"/>
          <w:sz w:val="24"/>
          <w:szCs w:val="24"/>
        </w:rPr>
        <w:t xml:space="preserve"> z niepełnosprawnością w sferze zawodowej przedstawione zostały na </w:t>
      </w:r>
      <w:r w:rsidRPr="00A11DC4">
        <w:rPr>
          <w:rFonts w:ascii="Times New Roman" w:hAnsi="Times New Roman"/>
          <w:sz w:val="24"/>
          <w:szCs w:val="24"/>
          <w:highlight w:val="yellow"/>
        </w:rPr>
        <w:t xml:space="preserve">rysunku </w:t>
      </w:r>
      <w:r w:rsidR="00462D9D" w:rsidRPr="00462D9D">
        <w:rPr>
          <w:rFonts w:ascii="Times New Roman" w:hAnsi="Times New Roman"/>
          <w:sz w:val="24"/>
          <w:szCs w:val="24"/>
          <w:highlight w:val="yellow"/>
        </w:rPr>
        <w:t>3</w:t>
      </w:r>
      <w:r w:rsidRPr="006A42E8">
        <w:rPr>
          <w:rFonts w:ascii="Times New Roman" w:hAnsi="Times New Roman"/>
          <w:sz w:val="24"/>
          <w:szCs w:val="24"/>
        </w:rPr>
        <w:t>.</w:t>
      </w:r>
    </w:p>
    <w:p w14:paraId="5EB5AC96" w14:textId="77777777" w:rsidR="007831EB" w:rsidRPr="006A42E8" w:rsidRDefault="007831EB" w:rsidP="007831EB">
      <w:pPr>
        <w:spacing w:after="0" w:line="360" w:lineRule="auto"/>
        <w:ind w:firstLine="708"/>
        <w:jc w:val="both"/>
        <w:rPr>
          <w:rFonts w:ascii="Times New Roman" w:hAnsi="Times New Roman"/>
          <w:sz w:val="24"/>
          <w:szCs w:val="24"/>
        </w:rPr>
      </w:pPr>
    </w:p>
    <w:p w14:paraId="7AAAD383" w14:textId="77777777" w:rsidR="007831EB" w:rsidRPr="006A42E8" w:rsidRDefault="00A618B8" w:rsidP="007831EB">
      <w:pPr>
        <w:shd w:val="clear" w:color="auto" w:fill="FFFFFF"/>
        <w:spacing w:after="0" w:line="360" w:lineRule="auto"/>
        <w:ind w:right="29" w:firstLine="708"/>
        <w:jc w:val="both"/>
        <w:rPr>
          <w:rFonts w:ascii="Times New Roman" w:hAnsi="Times New Roman"/>
          <w:sz w:val="24"/>
          <w:szCs w:val="24"/>
        </w:rPr>
      </w:pPr>
      <w:r>
        <w:rPr>
          <w:rFonts w:ascii="Times New Roman" w:hAnsi="Times New Roman"/>
          <w:noProof/>
          <w:sz w:val="24"/>
          <w:szCs w:val="24"/>
          <w:lang w:eastAsia="pl-PL"/>
        </w:rPr>
        <w:drawing>
          <wp:inline distT="0" distB="0" distL="0" distR="0" wp14:anchorId="1578D261" wp14:editId="572B861D">
            <wp:extent cx="5486400" cy="6391275"/>
            <wp:effectExtent l="0" t="0" r="0" b="9525"/>
            <wp:docPr id="3"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noChangeArrowheads="1"/>
                    </pic:cNvPicPr>
                  </pic:nvPicPr>
                  <pic:blipFill>
                    <a:blip r:embed="rId14">
                      <a:grayscl/>
                      <a:biLevel thresh="50000"/>
                      <a:extLst>
                        <a:ext uri="{28A0092B-C50C-407E-A947-70E740481C1C}">
                          <a14:useLocalDpi xmlns:a14="http://schemas.microsoft.com/office/drawing/2010/main" val="0"/>
                        </a:ext>
                      </a:extLst>
                    </a:blip>
                    <a:srcRect l="-5972" r="-5972"/>
                    <a:stretch>
                      <a:fillRect/>
                    </a:stretch>
                  </pic:blipFill>
                  <pic:spPr bwMode="auto">
                    <a:xfrm>
                      <a:off x="0" y="0"/>
                      <a:ext cx="5486400" cy="6391275"/>
                    </a:xfrm>
                    <a:prstGeom prst="rect">
                      <a:avLst/>
                    </a:prstGeom>
                    <a:noFill/>
                    <a:ln>
                      <a:noFill/>
                    </a:ln>
                  </pic:spPr>
                </pic:pic>
              </a:graphicData>
            </a:graphic>
          </wp:inline>
        </w:drawing>
      </w:r>
    </w:p>
    <w:p w14:paraId="06814905" w14:textId="77777777" w:rsidR="00A11DC4" w:rsidRPr="006A42E8" w:rsidRDefault="00A11DC4" w:rsidP="00A11DC4">
      <w:pPr>
        <w:spacing w:after="0" w:line="360" w:lineRule="auto"/>
        <w:jc w:val="both"/>
        <w:rPr>
          <w:rFonts w:ascii="Times New Roman" w:hAnsi="Times New Roman"/>
          <w:sz w:val="24"/>
          <w:szCs w:val="24"/>
        </w:rPr>
      </w:pPr>
      <w:commentRangeStart w:id="10"/>
      <w:r w:rsidRPr="00462D9D">
        <w:rPr>
          <w:rFonts w:ascii="Times New Roman" w:hAnsi="Times New Roman"/>
          <w:sz w:val="24"/>
          <w:szCs w:val="24"/>
        </w:rPr>
        <w:t xml:space="preserve">Rys. </w:t>
      </w:r>
      <w:r w:rsidR="00462D9D" w:rsidRPr="00462D9D">
        <w:rPr>
          <w:rFonts w:ascii="Times New Roman" w:hAnsi="Times New Roman"/>
          <w:sz w:val="24"/>
          <w:szCs w:val="24"/>
        </w:rPr>
        <w:t>3</w:t>
      </w:r>
      <w:r w:rsidRPr="00462D9D">
        <w:rPr>
          <w:rFonts w:ascii="Times New Roman" w:hAnsi="Times New Roman"/>
          <w:sz w:val="24"/>
          <w:szCs w:val="24"/>
        </w:rPr>
        <w:t>.</w:t>
      </w:r>
      <w:r w:rsidRPr="006A42E8">
        <w:rPr>
          <w:rFonts w:ascii="Times New Roman" w:hAnsi="Times New Roman"/>
          <w:sz w:val="24"/>
          <w:szCs w:val="24"/>
        </w:rPr>
        <w:t xml:space="preserve"> Szanse i zagrożenia funkcjonowaniu z niepełnosprawnością w sferze zawodowej</w:t>
      </w:r>
      <w:commentRangeEnd w:id="10"/>
      <w:r w:rsidR="00AD0180">
        <w:rPr>
          <w:rStyle w:val="Odwoaniedokomentarza"/>
        </w:rPr>
        <w:commentReference w:id="10"/>
      </w:r>
    </w:p>
    <w:p w14:paraId="28DB052E" w14:textId="77777777" w:rsidR="007831EB" w:rsidRPr="006A42E8" w:rsidRDefault="007831EB" w:rsidP="00462D9D">
      <w:pPr>
        <w:spacing w:after="0" w:line="360" w:lineRule="auto"/>
        <w:jc w:val="both"/>
        <w:rPr>
          <w:rFonts w:ascii="Times New Roman" w:hAnsi="Times New Roman"/>
          <w:sz w:val="24"/>
          <w:szCs w:val="24"/>
        </w:rPr>
      </w:pPr>
    </w:p>
    <w:p w14:paraId="756290AC" w14:textId="77777777" w:rsidR="007831EB" w:rsidRPr="006A42E8"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 xml:space="preserve">W świetle badań najmniej korzystnie rysuje się aktywność kobiet w społeczności lokalnej. Jedyną grupą wyróżniającą się w badaniu były kobiety po mastektomii zrzeszone w Stowarzyszeniu Amazonek. Zaobserwowano też, </w:t>
      </w:r>
      <w:r w:rsidR="00FA1D77">
        <w:rPr>
          <w:rFonts w:ascii="Times New Roman" w:hAnsi="Times New Roman"/>
          <w:sz w:val="24"/>
          <w:szCs w:val="24"/>
        </w:rPr>
        <w:t>że</w:t>
      </w:r>
      <w:r w:rsidRPr="006A42E8">
        <w:rPr>
          <w:rFonts w:ascii="Times New Roman" w:hAnsi="Times New Roman"/>
          <w:sz w:val="24"/>
          <w:szCs w:val="24"/>
        </w:rPr>
        <w:t xml:space="preserve"> zdecydowanie bardziej czynnie funkcjonowały w społeczności mieszkanki miasta niż wsi. Wynikało to z większ</w:t>
      </w:r>
      <w:r>
        <w:rPr>
          <w:rFonts w:ascii="Times New Roman" w:hAnsi="Times New Roman"/>
          <w:sz w:val="24"/>
          <w:szCs w:val="24"/>
        </w:rPr>
        <w:t xml:space="preserve">ych </w:t>
      </w:r>
      <w:r w:rsidRPr="006A42E8">
        <w:rPr>
          <w:rFonts w:ascii="Times New Roman" w:hAnsi="Times New Roman"/>
          <w:sz w:val="24"/>
          <w:szCs w:val="24"/>
        </w:rPr>
        <w:t>możliwości</w:t>
      </w:r>
      <w:r>
        <w:rPr>
          <w:rFonts w:ascii="Times New Roman" w:hAnsi="Times New Roman"/>
          <w:sz w:val="24"/>
          <w:szCs w:val="24"/>
        </w:rPr>
        <w:t>,</w:t>
      </w:r>
      <w:r w:rsidRPr="006A42E8">
        <w:rPr>
          <w:rFonts w:ascii="Times New Roman" w:hAnsi="Times New Roman"/>
          <w:sz w:val="24"/>
          <w:szCs w:val="24"/>
        </w:rPr>
        <w:t xml:space="preserve"> jakie daje miasto, ale również gotowości jego mieszkanek do angażowania się w tego typu działalność.</w:t>
      </w:r>
    </w:p>
    <w:p w14:paraId="615503F4" w14:textId="77777777" w:rsidR="007831EB" w:rsidRPr="006A42E8"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 xml:space="preserve">Mieszkanki wsi wyrażały też mniejszą chęć uczestnictwa w zorganizowanych formach aktywności. Jeśli już, to działały w różnego typu grupach, głównie przykościelnych, w swoich parafiach, był to jednak niewielki procent badanych. </w:t>
      </w:r>
    </w:p>
    <w:p w14:paraId="5F60443C" w14:textId="77777777" w:rsidR="007831EB" w:rsidRPr="006A42E8" w:rsidRDefault="007831EB" w:rsidP="00462D9D">
      <w:pPr>
        <w:spacing w:after="0" w:line="360" w:lineRule="auto"/>
        <w:jc w:val="both"/>
        <w:rPr>
          <w:rFonts w:ascii="Times New Roman" w:hAnsi="Times New Roman"/>
          <w:sz w:val="24"/>
          <w:szCs w:val="24"/>
        </w:rPr>
      </w:pPr>
      <w:r w:rsidRPr="006A42E8">
        <w:rPr>
          <w:rFonts w:ascii="Times New Roman" w:hAnsi="Times New Roman"/>
          <w:sz w:val="24"/>
          <w:szCs w:val="24"/>
        </w:rPr>
        <w:t xml:space="preserve">Jak obrazują badania podjęte przez autorkę, w każdym z omówionych obszarów istnieje szereg zagrożeń utrudniających adaptację i integrację społeczną osób z niepełnosprawnością. Dlatego tak ważna jest koncentracja na tych aspektach, które zwiększają możliwości rehabilitacji, rozwoju i podniesienia jakości życia kobiet z niepełnosprawnością. </w:t>
      </w:r>
    </w:p>
    <w:p w14:paraId="0B26A258" w14:textId="77777777" w:rsidR="007831EB" w:rsidRPr="006A42E8" w:rsidRDefault="007831EB" w:rsidP="007831EB">
      <w:pPr>
        <w:spacing w:after="0" w:line="360" w:lineRule="auto"/>
        <w:ind w:firstLine="709"/>
        <w:jc w:val="both"/>
        <w:rPr>
          <w:rFonts w:ascii="Times New Roman" w:hAnsi="Times New Roman"/>
          <w:sz w:val="24"/>
          <w:szCs w:val="24"/>
        </w:rPr>
      </w:pPr>
    </w:p>
    <w:p w14:paraId="642EB6B3" w14:textId="77777777" w:rsidR="007831EB" w:rsidRPr="00A11DC4" w:rsidRDefault="00A11DC4" w:rsidP="007831EB">
      <w:pPr>
        <w:spacing w:after="0" w:line="360" w:lineRule="auto"/>
        <w:jc w:val="both"/>
        <w:rPr>
          <w:rFonts w:ascii="Times New Roman" w:hAnsi="Times New Roman"/>
          <w:sz w:val="24"/>
          <w:szCs w:val="24"/>
        </w:rPr>
      </w:pPr>
      <w:r w:rsidRPr="00A11DC4">
        <w:rPr>
          <w:rFonts w:ascii="Times New Roman" w:hAnsi="Times New Roman"/>
          <w:sz w:val="24"/>
          <w:szCs w:val="24"/>
        </w:rPr>
        <w:t xml:space="preserve">PODSUMOWANIE </w:t>
      </w:r>
    </w:p>
    <w:p w14:paraId="6F23DBB9" w14:textId="77777777" w:rsidR="00943CEF" w:rsidRPr="00943CEF" w:rsidRDefault="00943CEF" w:rsidP="00943CEF">
      <w:pPr>
        <w:spacing w:after="0" w:line="360" w:lineRule="auto"/>
        <w:jc w:val="both"/>
        <w:rPr>
          <w:rFonts w:ascii="Times New Roman" w:hAnsi="Times New Roman"/>
          <w:sz w:val="24"/>
          <w:szCs w:val="24"/>
        </w:rPr>
      </w:pPr>
      <w:r w:rsidRPr="00943CEF">
        <w:rPr>
          <w:rFonts w:ascii="Times New Roman" w:hAnsi="Times New Roman"/>
          <w:sz w:val="24"/>
          <w:szCs w:val="24"/>
        </w:rPr>
        <w:t>Nieuleczalna choroba, jaką jest mukowiscydoza, ma znaczące konsekwencje dla osób chorych, ograniczając im udział w życiu społecznym; choroba ta pociąga za sobą konieczność pozostawania w domu, wymaga częstych hospitalizacji i utrudnia zwykłe codzienne funkcjonowanie. Co gorsza, uporczywy kaszel i hospitalizacje częściej dotykają osoby ze starszych grup wiekowych. Unikanie kontaktów przez rówieśników chorego i inne osoby z jego otoczenia nieświadome faktu, że kaszel czy katar są objawem choroby genetycznej oraz negatywne reakcje społeczne (wyśmiewanie się lub przezywanie) powodują niejednokrotnie, że chorzy czują się wyizolowani ze społeczeństwa lub wręcz stygmatyzowani. Poczucie stygmatyzacji i izolacji społecznej jest częstsze w starszych grupach wiekowych.</w:t>
      </w:r>
    </w:p>
    <w:p w14:paraId="4DB13B39" w14:textId="77777777" w:rsidR="00943CEF" w:rsidRDefault="00943CEF" w:rsidP="00943CEF">
      <w:pPr>
        <w:spacing w:after="0" w:line="360" w:lineRule="auto"/>
        <w:jc w:val="both"/>
        <w:rPr>
          <w:rFonts w:ascii="Times New Roman" w:hAnsi="Times New Roman"/>
          <w:sz w:val="24"/>
          <w:szCs w:val="24"/>
        </w:rPr>
      </w:pPr>
      <w:r w:rsidRPr="00943CEF">
        <w:rPr>
          <w:rFonts w:ascii="Times New Roman" w:hAnsi="Times New Roman"/>
          <w:sz w:val="24"/>
          <w:szCs w:val="24"/>
        </w:rPr>
        <w:t xml:space="preserve">Życie z mukowiscydozą przeczy pewnym koncepcjom przytaczanym w przypadku badań nad jakością życia uwarunkowaną stanem zdrowia, na przykład powstałej w 1999 roku teorii </w:t>
      </w:r>
      <w:r w:rsidRPr="00943CEF">
        <w:rPr>
          <w:rFonts w:ascii="Times New Roman" w:hAnsi="Times New Roman"/>
          <w:i/>
          <w:sz w:val="24"/>
          <w:szCs w:val="24"/>
        </w:rPr>
        <w:t>response shift</w:t>
      </w:r>
      <w:r w:rsidRPr="00943CEF">
        <w:rPr>
          <w:rFonts w:ascii="Times New Roman" w:hAnsi="Times New Roman"/>
          <w:sz w:val="24"/>
          <w:szCs w:val="24"/>
        </w:rPr>
        <w:t xml:space="preserve"> zakładającej, że w sytuacji choroby przewlekłej osoba chora uczy się żyć z tą chorobą dzięki zmodyfikowaniu dotychczasowych priorytetów, systemu wartości, a nawet codziennych aktywności. „Czas trwania choroby”, postrzegany w innych chorobach przewlekłych jako „łagodzący” konsekwencje zmian w stanie zdrowia dzięki przystosowaniu się do nich, w przypadku mukowiscydozy nie jest czynnikiem chroniącym przed negatywną oceną jakości przez osoby dorosłe, które przeszły swoje dzieciństwo i okres adolescencji w ramach wyznaczonych tą chorobą.</w:t>
      </w:r>
    </w:p>
    <w:p w14:paraId="2339CCA8" w14:textId="77777777" w:rsidR="00943CEF" w:rsidRDefault="00943CEF" w:rsidP="00943CEF">
      <w:pPr>
        <w:spacing w:after="0" w:line="360" w:lineRule="auto"/>
        <w:jc w:val="both"/>
        <w:rPr>
          <w:rFonts w:ascii="Times New Roman" w:hAnsi="Times New Roman"/>
          <w:sz w:val="24"/>
          <w:szCs w:val="24"/>
        </w:rPr>
      </w:pPr>
    </w:p>
    <w:p w14:paraId="7B6CFF6D" w14:textId="77777777" w:rsidR="007831EB" w:rsidRPr="00082D6A" w:rsidRDefault="00082D6A" w:rsidP="00943CEF">
      <w:pPr>
        <w:spacing w:after="0" w:line="360" w:lineRule="auto"/>
        <w:jc w:val="both"/>
        <w:rPr>
          <w:rFonts w:ascii="Times New Roman" w:hAnsi="Times New Roman"/>
          <w:sz w:val="24"/>
          <w:szCs w:val="24"/>
          <w:lang w:val="en-US"/>
        </w:rPr>
      </w:pPr>
      <w:r w:rsidRPr="00082D6A">
        <w:rPr>
          <w:rFonts w:ascii="Times New Roman" w:hAnsi="Times New Roman"/>
          <w:sz w:val="24"/>
          <w:szCs w:val="24"/>
          <w:lang w:val="en-US"/>
        </w:rPr>
        <w:t>BIBLIOGRAFIA</w:t>
      </w:r>
    </w:p>
    <w:p w14:paraId="1F8FF3DB" w14:textId="77777777" w:rsidR="00943CEF" w:rsidRDefault="00943CEF" w:rsidP="00943CEF">
      <w:pPr>
        <w:pStyle w:val="NormalnyWeb"/>
        <w:spacing w:before="0" w:beforeAutospacing="0" w:after="0" w:afterAutospacing="0" w:line="360" w:lineRule="auto"/>
        <w:jc w:val="both"/>
        <w:rPr>
          <w:lang w:val="en-US"/>
        </w:rPr>
      </w:pPr>
      <w:r>
        <w:rPr>
          <w:lang w:val="en-US"/>
        </w:rPr>
        <w:t>Beattie, Paula E. i. Sue M. Lewis</w:t>
      </w:r>
      <w:r>
        <w:rPr>
          <w:rFonts w:ascii="Cambria Math" w:hAnsi="Cambria Math" w:cs="Cambria Math"/>
          <w:lang w:val="en-US"/>
        </w:rPr>
        <w:t>‐</w:t>
      </w:r>
      <w:r>
        <w:rPr>
          <w:lang w:val="en-US"/>
        </w:rPr>
        <w:t xml:space="preserve">Jones. 2006. </w:t>
      </w:r>
      <w:r>
        <w:rPr>
          <w:i/>
          <w:lang w:val="en-US"/>
        </w:rPr>
        <w:t xml:space="preserve">A Comparative Study of Impairment of Quality of Life in Children with Skin Disease and Children with Other Chronic Childhood Diseases. </w:t>
      </w:r>
      <w:r>
        <w:rPr>
          <w:lang w:val="en-US"/>
        </w:rPr>
        <w:t>„</w:t>
      </w:r>
      <w:r>
        <w:rPr>
          <w:iCs/>
          <w:lang w:val="en-US"/>
        </w:rPr>
        <w:t>British Journal of Dermatology”</w:t>
      </w:r>
      <w:r>
        <w:rPr>
          <w:lang w:val="en-US"/>
        </w:rPr>
        <w:t xml:space="preserve"> 155(1): 145–151. </w:t>
      </w:r>
    </w:p>
    <w:p w14:paraId="708AEAC1" w14:textId="77777777" w:rsidR="00943CEF" w:rsidRPr="00FA1D77" w:rsidRDefault="00943CEF" w:rsidP="00943CEF">
      <w:pPr>
        <w:tabs>
          <w:tab w:val="num" w:pos="720"/>
        </w:tabs>
        <w:spacing w:after="0" w:line="360" w:lineRule="auto"/>
        <w:jc w:val="both"/>
        <w:rPr>
          <w:rFonts w:ascii="Times New Roman" w:hAnsi="Times New Roman"/>
          <w:noProof/>
          <w:sz w:val="24"/>
          <w:szCs w:val="24"/>
          <w:lang w:val="en-US"/>
        </w:rPr>
      </w:pPr>
      <w:r w:rsidRPr="00FA1D77">
        <w:rPr>
          <w:rFonts w:ascii="Times New Roman" w:hAnsi="Times New Roman"/>
          <w:noProof/>
          <w:sz w:val="24"/>
          <w:szCs w:val="24"/>
          <w:lang w:val="en-US"/>
        </w:rPr>
        <w:t xml:space="preserve">Bury, Michael. 1982. </w:t>
      </w:r>
      <w:r w:rsidRPr="00FA1D77">
        <w:rPr>
          <w:rFonts w:ascii="Times New Roman" w:hAnsi="Times New Roman"/>
          <w:i/>
          <w:noProof/>
          <w:sz w:val="24"/>
          <w:szCs w:val="24"/>
          <w:lang w:val="en-US"/>
        </w:rPr>
        <w:t>Chronic illness as biographical disruption.</w:t>
      </w:r>
      <w:r w:rsidRPr="00FA1D77">
        <w:rPr>
          <w:rFonts w:ascii="Times New Roman" w:hAnsi="Times New Roman"/>
          <w:noProof/>
          <w:sz w:val="24"/>
          <w:szCs w:val="24"/>
          <w:lang w:val="en-US"/>
        </w:rPr>
        <w:t xml:space="preserve"> “Sociology of Health &amp; Illness” 4(2): 167–182. </w:t>
      </w:r>
    </w:p>
    <w:p w14:paraId="1C5CD1EC" w14:textId="77777777" w:rsidR="00943CEF" w:rsidRPr="00FA1D77" w:rsidRDefault="00943CEF" w:rsidP="00943CEF">
      <w:pPr>
        <w:tabs>
          <w:tab w:val="num" w:pos="720"/>
        </w:tabs>
        <w:spacing w:after="0" w:line="360" w:lineRule="auto"/>
        <w:jc w:val="both"/>
        <w:rPr>
          <w:rFonts w:ascii="Times New Roman" w:hAnsi="Times New Roman"/>
          <w:noProof/>
          <w:sz w:val="24"/>
          <w:szCs w:val="24"/>
          <w:lang w:val="en-US"/>
        </w:rPr>
      </w:pPr>
      <w:r w:rsidRPr="00FA1D77">
        <w:rPr>
          <w:rFonts w:ascii="Times New Roman" w:hAnsi="Times New Roman"/>
          <w:noProof/>
          <w:sz w:val="24"/>
          <w:szCs w:val="24"/>
          <w:lang w:val="en-US"/>
        </w:rPr>
        <w:t xml:space="preserve">Bury, Michael. 1991. </w:t>
      </w:r>
      <w:r w:rsidRPr="00FA1D77">
        <w:rPr>
          <w:rFonts w:ascii="Times New Roman" w:hAnsi="Times New Roman"/>
          <w:i/>
          <w:noProof/>
          <w:sz w:val="24"/>
          <w:szCs w:val="24"/>
          <w:lang w:val="en-US"/>
        </w:rPr>
        <w:t>The sociology of chronic illness: A review of research and prospects</w:t>
      </w:r>
      <w:r w:rsidR="00F35A58" w:rsidRPr="00FA1D77">
        <w:rPr>
          <w:rFonts w:ascii="Times New Roman" w:hAnsi="Times New Roman"/>
          <w:noProof/>
          <w:sz w:val="24"/>
          <w:szCs w:val="24"/>
          <w:lang w:val="en-US"/>
        </w:rPr>
        <w:t xml:space="preserve">. </w:t>
      </w:r>
      <w:r w:rsidRPr="00FA1D77">
        <w:rPr>
          <w:rFonts w:ascii="Times New Roman" w:hAnsi="Times New Roman"/>
          <w:noProof/>
          <w:sz w:val="24"/>
          <w:szCs w:val="24"/>
          <w:lang w:val="en-US"/>
        </w:rPr>
        <w:t xml:space="preserve">Sociology of Health &amp; Illness” 13(4): 451–468. </w:t>
      </w:r>
    </w:p>
    <w:p w14:paraId="2FEDFC1D" w14:textId="77777777" w:rsidR="00943CEF" w:rsidRPr="00FA1D77" w:rsidRDefault="00943CEF" w:rsidP="00943CEF">
      <w:pPr>
        <w:tabs>
          <w:tab w:val="num" w:pos="720"/>
        </w:tabs>
        <w:spacing w:after="0" w:line="360" w:lineRule="auto"/>
        <w:jc w:val="both"/>
        <w:rPr>
          <w:rFonts w:ascii="Times New Roman" w:hAnsi="Times New Roman"/>
          <w:noProof/>
          <w:sz w:val="24"/>
          <w:szCs w:val="24"/>
          <w:lang w:val="en-US"/>
        </w:rPr>
      </w:pPr>
      <w:r w:rsidRPr="00FA1D77">
        <w:rPr>
          <w:rFonts w:ascii="Times New Roman" w:hAnsi="Times New Roman"/>
          <w:noProof/>
          <w:sz w:val="24"/>
          <w:szCs w:val="24"/>
          <w:lang w:val="en-US"/>
        </w:rPr>
        <w:t xml:space="preserve">Fogarty, Andrew, Richard Hubbard i John Britton. 2000. </w:t>
      </w:r>
      <w:r w:rsidRPr="00FA1D77">
        <w:rPr>
          <w:rFonts w:ascii="Times New Roman" w:hAnsi="Times New Roman"/>
          <w:i/>
          <w:noProof/>
          <w:sz w:val="24"/>
          <w:szCs w:val="24"/>
          <w:lang w:val="en-US"/>
        </w:rPr>
        <w:t>International comparison of median age at death from cystic fibrosis.</w:t>
      </w:r>
      <w:r w:rsidRPr="00FA1D77">
        <w:rPr>
          <w:rFonts w:ascii="Times New Roman" w:hAnsi="Times New Roman"/>
          <w:noProof/>
          <w:sz w:val="24"/>
          <w:szCs w:val="24"/>
          <w:lang w:val="en-US"/>
        </w:rPr>
        <w:t xml:space="preserve"> </w:t>
      </w:r>
      <w:r w:rsidRPr="00FA1D77">
        <w:rPr>
          <w:rFonts w:ascii="Times New Roman" w:hAnsi="Times New Roman"/>
          <w:sz w:val="24"/>
          <w:szCs w:val="24"/>
          <w:lang w:val="en-US"/>
        </w:rPr>
        <w:t>„</w:t>
      </w:r>
      <w:r w:rsidRPr="00FA1D77">
        <w:rPr>
          <w:rFonts w:ascii="Times New Roman" w:hAnsi="Times New Roman"/>
          <w:noProof/>
          <w:sz w:val="24"/>
          <w:szCs w:val="24"/>
          <w:lang w:val="en-US"/>
        </w:rPr>
        <w:t xml:space="preserve">CHEST Journal” 117(6): 1656–1660. </w:t>
      </w:r>
    </w:p>
    <w:p w14:paraId="57EDB2E9" w14:textId="77777777" w:rsidR="00943CEF" w:rsidRDefault="00943CEF" w:rsidP="00943CEF">
      <w:pPr>
        <w:pStyle w:val="NormalnyWeb"/>
        <w:spacing w:before="0" w:beforeAutospacing="0" w:after="0" w:afterAutospacing="0" w:line="360" w:lineRule="auto"/>
        <w:jc w:val="both"/>
        <w:rPr>
          <w:noProof/>
        </w:rPr>
      </w:pPr>
      <w:r w:rsidRPr="00FA1D77">
        <w:rPr>
          <w:noProof/>
          <w:lang w:val="en-US"/>
        </w:rPr>
        <w:t xml:space="preserve">Gee, Louise, Janice Abbott, Steven P. Conway, Christine Etherington i A. Kevin Webb. 2003. </w:t>
      </w:r>
      <w:r w:rsidRPr="00FA1D77">
        <w:rPr>
          <w:i/>
          <w:noProof/>
          <w:lang w:val="en-US"/>
        </w:rPr>
        <w:t xml:space="preserve">Quality of Life in Cystic Fibrosis: The Impact of Gender, General Health Perceptions and Disease Severity. </w:t>
      </w:r>
      <w:r>
        <w:rPr>
          <w:noProof/>
        </w:rPr>
        <w:t>„</w:t>
      </w:r>
      <w:r>
        <w:rPr>
          <w:iCs/>
          <w:noProof/>
        </w:rPr>
        <w:t>Journal of Cystic Fibrosis”</w:t>
      </w:r>
      <w:r>
        <w:rPr>
          <w:noProof/>
        </w:rPr>
        <w:t xml:space="preserve"> 2(4): 206–213. </w:t>
      </w:r>
    </w:p>
    <w:p w14:paraId="54F56E55" w14:textId="77777777" w:rsidR="00943CEF" w:rsidRDefault="00943CEF" w:rsidP="00943CEF">
      <w:pPr>
        <w:tabs>
          <w:tab w:val="num" w:pos="720"/>
        </w:tabs>
        <w:spacing w:after="0" w:line="360" w:lineRule="auto"/>
        <w:jc w:val="both"/>
        <w:rPr>
          <w:rFonts w:ascii="Times New Roman" w:hAnsi="Times New Roman"/>
          <w:noProof/>
          <w:sz w:val="24"/>
          <w:szCs w:val="24"/>
        </w:rPr>
      </w:pPr>
      <w:r>
        <w:rPr>
          <w:rFonts w:ascii="Times New Roman" w:hAnsi="Times New Roman"/>
          <w:noProof/>
          <w:sz w:val="24"/>
          <w:szCs w:val="24"/>
        </w:rPr>
        <w:t xml:space="preserve">Giddens, Anthony. 2012. </w:t>
      </w:r>
      <w:r>
        <w:rPr>
          <w:rFonts w:ascii="Times New Roman" w:hAnsi="Times New Roman"/>
          <w:i/>
          <w:noProof/>
          <w:sz w:val="24"/>
          <w:szCs w:val="24"/>
        </w:rPr>
        <w:t>Socjologia</w:t>
      </w:r>
      <w:r>
        <w:rPr>
          <w:rFonts w:ascii="Times New Roman" w:hAnsi="Times New Roman"/>
          <w:noProof/>
          <w:sz w:val="24"/>
          <w:szCs w:val="24"/>
        </w:rPr>
        <w:t>. Warszawa: Wydawnictwo Naukowe PWN.</w:t>
      </w:r>
    </w:p>
    <w:p w14:paraId="66969CFA" w14:textId="77777777" w:rsidR="00943CEF" w:rsidRDefault="00943CEF" w:rsidP="00943CEF">
      <w:pPr>
        <w:tabs>
          <w:tab w:val="num" w:pos="720"/>
        </w:tabs>
        <w:spacing w:after="0" w:line="360" w:lineRule="auto"/>
        <w:jc w:val="both"/>
        <w:rPr>
          <w:rFonts w:ascii="Times New Roman" w:hAnsi="Times New Roman"/>
          <w:noProof/>
          <w:sz w:val="24"/>
          <w:szCs w:val="24"/>
        </w:rPr>
      </w:pPr>
      <w:r>
        <w:rPr>
          <w:rFonts w:ascii="Times New Roman" w:hAnsi="Times New Roman"/>
          <w:noProof/>
          <w:sz w:val="24"/>
          <w:szCs w:val="24"/>
        </w:rPr>
        <w:t xml:space="preserve">Głowacki, Mikołaj i Tomasz Mach. 2013. </w:t>
      </w:r>
      <w:r>
        <w:rPr>
          <w:rFonts w:ascii="Times New Roman" w:hAnsi="Times New Roman"/>
          <w:i/>
          <w:noProof/>
          <w:sz w:val="24"/>
          <w:szCs w:val="24"/>
        </w:rPr>
        <w:t xml:space="preserve">Problemy gastroenterologiczne w mukowiscydozie u dorosłych. </w:t>
      </w:r>
      <w:r>
        <w:rPr>
          <w:rFonts w:ascii="Times New Roman" w:hAnsi="Times New Roman"/>
          <w:noProof/>
          <w:sz w:val="24"/>
          <w:szCs w:val="24"/>
        </w:rPr>
        <w:t>„Gastroenterologia Polska” 20(1): 15–19.</w:t>
      </w:r>
    </w:p>
    <w:p w14:paraId="3B110474" w14:textId="77777777" w:rsidR="00943CEF" w:rsidRDefault="00943CEF" w:rsidP="00943CEF">
      <w:pPr>
        <w:tabs>
          <w:tab w:val="num" w:pos="720"/>
        </w:tabs>
        <w:spacing w:after="0" w:line="360" w:lineRule="auto"/>
        <w:jc w:val="both"/>
        <w:rPr>
          <w:rFonts w:ascii="Times New Roman" w:hAnsi="Times New Roman"/>
          <w:noProof/>
          <w:sz w:val="24"/>
          <w:szCs w:val="24"/>
        </w:rPr>
      </w:pPr>
      <w:r>
        <w:rPr>
          <w:rFonts w:ascii="Times New Roman" w:hAnsi="Times New Roman"/>
          <w:noProof/>
          <w:sz w:val="24"/>
          <w:szCs w:val="24"/>
        </w:rPr>
        <w:t xml:space="preserve">Goffman, Ervin. 2005. </w:t>
      </w:r>
      <w:r>
        <w:rPr>
          <w:rFonts w:ascii="Times New Roman" w:hAnsi="Times New Roman"/>
          <w:i/>
          <w:noProof/>
          <w:sz w:val="24"/>
          <w:szCs w:val="24"/>
        </w:rPr>
        <w:t>Piętno. Rozważania o zranionej tożsamości.</w:t>
      </w:r>
      <w:r>
        <w:rPr>
          <w:rFonts w:ascii="Times New Roman" w:hAnsi="Times New Roman"/>
          <w:noProof/>
          <w:sz w:val="24"/>
          <w:szCs w:val="24"/>
        </w:rPr>
        <w:t xml:space="preserve"> Gdańsk: Gdańskie Wydawnictwo Psychologiczne. </w:t>
      </w:r>
    </w:p>
    <w:p w14:paraId="16E4A39F" w14:textId="77777777" w:rsidR="00943CEF" w:rsidRDefault="00943CEF" w:rsidP="00943CEF">
      <w:pPr>
        <w:tabs>
          <w:tab w:val="num" w:pos="720"/>
        </w:tabs>
        <w:spacing w:after="0" w:line="360" w:lineRule="auto"/>
        <w:jc w:val="both"/>
        <w:rPr>
          <w:rFonts w:ascii="Times New Roman" w:hAnsi="Times New Roman"/>
          <w:noProof/>
          <w:sz w:val="24"/>
          <w:szCs w:val="24"/>
        </w:rPr>
      </w:pPr>
      <w:r>
        <w:rPr>
          <w:rFonts w:ascii="Times New Roman" w:hAnsi="Times New Roman"/>
          <w:noProof/>
          <w:sz w:val="24"/>
          <w:szCs w:val="24"/>
        </w:rPr>
        <w:t xml:space="preserve">Goffman, Ervin. 2011. </w:t>
      </w:r>
      <w:r>
        <w:rPr>
          <w:rFonts w:ascii="Times New Roman" w:hAnsi="Times New Roman"/>
          <w:i/>
          <w:noProof/>
          <w:sz w:val="24"/>
          <w:szCs w:val="24"/>
        </w:rPr>
        <w:t>Instytucje totalne. O pacjentach szpitali psychiatrycznych i mieszkańcach innych instytucji totalnych.</w:t>
      </w:r>
      <w:r>
        <w:rPr>
          <w:rFonts w:ascii="Times New Roman" w:hAnsi="Times New Roman"/>
          <w:noProof/>
          <w:sz w:val="24"/>
          <w:szCs w:val="24"/>
        </w:rPr>
        <w:t xml:space="preserve"> Sopot: Gdańskie Wydawnictwo Psychologiczne.</w:t>
      </w:r>
    </w:p>
    <w:p w14:paraId="5C65B731" w14:textId="77777777" w:rsidR="00943CEF" w:rsidRPr="00FA1D77" w:rsidRDefault="00943CEF" w:rsidP="00943CEF">
      <w:pPr>
        <w:pStyle w:val="NormalnyWeb"/>
        <w:spacing w:before="0" w:beforeAutospacing="0" w:after="0" w:afterAutospacing="0" w:line="360" w:lineRule="auto"/>
        <w:jc w:val="both"/>
        <w:rPr>
          <w:noProof/>
          <w:lang w:val="en-US"/>
        </w:rPr>
      </w:pPr>
      <w:r>
        <w:rPr>
          <w:noProof/>
        </w:rPr>
        <w:t xml:space="preserve">Goldbeck, Lutz, Tim G. Schmitz, Gerhard Henrich i Peter Herschbach. </w:t>
      </w:r>
      <w:r w:rsidRPr="00FA1D77">
        <w:rPr>
          <w:noProof/>
          <w:lang w:val="en-US"/>
        </w:rPr>
        <w:t xml:space="preserve">2003. </w:t>
      </w:r>
      <w:r w:rsidRPr="00FA1D77">
        <w:rPr>
          <w:i/>
          <w:noProof/>
          <w:lang w:val="en-US"/>
        </w:rPr>
        <w:t>Questions on Life Satisfaction for Adolescents and Adults with Cystic Fibrosis. Development of a Disease-Specific Questionnaire.</w:t>
      </w:r>
      <w:r w:rsidRPr="00FA1D77">
        <w:rPr>
          <w:noProof/>
          <w:lang w:val="en-US"/>
        </w:rPr>
        <w:t xml:space="preserve"> „</w:t>
      </w:r>
      <w:r w:rsidRPr="00FA1D77">
        <w:rPr>
          <w:iCs/>
          <w:noProof/>
          <w:lang w:val="en-US"/>
        </w:rPr>
        <w:t>CHEST Journal”</w:t>
      </w:r>
      <w:r w:rsidRPr="00FA1D77">
        <w:rPr>
          <w:noProof/>
          <w:lang w:val="en-US"/>
        </w:rPr>
        <w:t xml:space="preserve"> 123(1): 42–48. </w:t>
      </w:r>
    </w:p>
    <w:p w14:paraId="4531C7FD" w14:textId="77777777" w:rsidR="00943CEF" w:rsidRPr="00FA1D77" w:rsidRDefault="00943CEF" w:rsidP="00943CEF">
      <w:pPr>
        <w:tabs>
          <w:tab w:val="num" w:pos="720"/>
        </w:tabs>
        <w:spacing w:after="0" w:line="360" w:lineRule="auto"/>
        <w:jc w:val="both"/>
        <w:rPr>
          <w:rFonts w:ascii="Times New Roman" w:hAnsi="Times New Roman"/>
          <w:noProof/>
          <w:sz w:val="24"/>
          <w:szCs w:val="24"/>
          <w:lang w:val="en-US"/>
        </w:rPr>
      </w:pPr>
      <w:r w:rsidRPr="00FA1D77">
        <w:rPr>
          <w:rFonts w:ascii="Times New Roman" w:hAnsi="Times New Roman"/>
          <w:noProof/>
          <w:sz w:val="24"/>
          <w:szCs w:val="24"/>
          <w:lang w:val="en-US"/>
        </w:rPr>
        <w:t xml:space="preserve">Havermans, Trudy, </w:t>
      </w:r>
      <w:r w:rsidRPr="00FA1D77">
        <w:rPr>
          <w:rStyle w:val="st"/>
          <w:rFonts w:ascii="Times New Roman" w:hAnsi="Times New Roman"/>
          <w:noProof/>
          <w:lang w:val="en-US"/>
        </w:rPr>
        <w:t>Myriam</w:t>
      </w:r>
      <w:r w:rsidRPr="00FA1D77">
        <w:rPr>
          <w:rFonts w:ascii="Times New Roman" w:hAnsi="Times New Roman"/>
          <w:noProof/>
          <w:sz w:val="24"/>
          <w:szCs w:val="24"/>
          <w:lang w:val="en-US"/>
        </w:rPr>
        <w:t xml:space="preserve"> Vreys, Marijke Proesmans i Christiane De Boeck. 2006. </w:t>
      </w:r>
      <w:r w:rsidRPr="00FA1D77">
        <w:rPr>
          <w:rFonts w:ascii="Times New Roman" w:hAnsi="Times New Roman"/>
          <w:i/>
          <w:noProof/>
          <w:sz w:val="24"/>
          <w:szCs w:val="24"/>
          <w:lang w:val="en-US"/>
        </w:rPr>
        <w:t>Assessment of Agreement between Parents and Children on health</w:t>
      </w:r>
      <w:r w:rsidRPr="00FA1D77">
        <w:rPr>
          <w:rFonts w:ascii="Cambria Math" w:hAnsi="Cambria Math" w:cs="Cambria Math"/>
          <w:i/>
          <w:noProof/>
          <w:sz w:val="24"/>
          <w:szCs w:val="24"/>
          <w:lang w:val="en-US"/>
        </w:rPr>
        <w:t>‐</w:t>
      </w:r>
      <w:r w:rsidRPr="00FA1D77">
        <w:rPr>
          <w:rFonts w:ascii="Times New Roman" w:hAnsi="Times New Roman"/>
          <w:i/>
          <w:noProof/>
          <w:sz w:val="24"/>
          <w:szCs w:val="24"/>
          <w:lang w:val="en-US"/>
        </w:rPr>
        <w:t>related Quality of Life in Children with Cystic Fibrosis</w:t>
      </w:r>
      <w:r w:rsidRPr="00FA1D77">
        <w:rPr>
          <w:rFonts w:ascii="Times New Roman" w:hAnsi="Times New Roman"/>
          <w:noProof/>
          <w:sz w:val="24"/>
          <w:szCs w:val="24"/>
          <w:lang w:val="en-US"/>
        </w:rPr>
        <w:t xml:space="preserve">. </w:t>
      </w:r>
      <w:r w:rsidRPr="00FA1D77">
        <w:rPr>
          <w:rFonts w:ascii="Times New Roman" w:hAnsi="Times New Roman"/>
          <w:sz w:val="24"/>
          <w:szCs w:val="24"/>
          <w:lang w:val="en-US"/>
        </w:rPr>
        <w:t>„</w:t>
      </w:r>
      <w:r w:rsidRPr="00FA1D77">
        <w:rPr>
          <w:rFonts w:ascii="Times New Roman" w:hAnsi="Times New Roman"/>
          <w:noProof/>
          <w:sz w:val="24"/>
          <w:szCs w:val="24"/>
          <w:lang w:val="en-US"/>
        </w:rPr>
        <w:t>Child: Care, Health and Development” 32(1): 1–7.</w:t>
      </w:r>
    </w:p>
    <w:p w14:paraId="21D2120C" w14:textId="77777777" w:rsidR="00943CEF" w:rsidRPr="00FA1D77" w:rsidRDefault="00943CEF" w:rsidP="00943CEF">
      <w:pPr>
        <w:tabs>
          <w:tab w:val="num" w:pos="720"/>
        </w:tabs>
        <w:spacing w:after="0" w:line="360" w:lineRule="auto"/>
        <w:jc w:val="both"/>
        <w:rPr>
          <w:rFonts w:ascii="Times New Roman" w:hAnsi="Times New Roman"/>
          <w:noProof/>
          <w:sz w:val="24"/>
          <w:szCs w:val="24"/>
          <w:lang w:val="en-US"/>
        </w:rPr>
      </w:pPr>
      <w:r w:rsidRPr="00FA1D77">
        <w:rPr>
          <w:rFonts w:ascii="Times New Roman" w:hAnsi="Times New Roman"/>
          <w:noProof/>
          <w:sz w:val="24"/>
          <w:szCs w:val="24"/>
          <w:lang w:val="en-US"/>
        </w:rPr>
        <w:t xml:space="preserve">Henry, Bernadette, Pierre Aussage, Cecile Grosskopf i Jean-Marie Goehrs. 2003. </w:t>
      </w:r>
      <w:r w:rsidRPr="00FA1D77">
        <w:rPr>
          <w:rFonts w:ascii="Times New Roman" w:hAnsi="Times New Roman"/>
          <w:i/>
          <w:noProof/>
          <w:sz w:val="24"/>
          <w:szCs w:val="24"/>
          <w:lang w:val="en-US"/>
        </w:rPr>
        <w:t>Development of the cystic fibrosis questionnaire (CFQ) for assessing quality of life in pediatric and adult patients.</w:t>
      </w:r>
      <w:r w:rsidRPr="00FA1D77">
        <w:rPr>
          <w:rFonts w:ascii="Times New Roman" w:hAnsi="Times New Roman"/>
          <w:noProof/>
          <w:sz w:val="24"/>
          <w:szCs w:val="24"/>
          <w:lang w:val="en-US"/>
        </w:rPr>
        <w:t xml:space="preserve"> </w:t>
      </w:r>
      <w:r w:rsidRPr="00FA1D77">
        <w:rPr>
          <w:rFonts w:ascii="Times New Roman" w:hAnsi="Times New Roman"/>
          <w:sz w:val="24"/>
          <w:szCs w:val="24"/>
          <w:lang w:val="en-US"/>
        </w:rPr>
        <w:t>„</w:t>
      </w:r>
      <w:r w:rsidRPr="00FA1D77">
        <w:rPr>
          <w:rFonts w:ascii="Times New Roman" w:hAnsi="Times New Roman"/>
          <w:noProof/>
          <w:sz w:val="24"/>
          <w:szCs w:val="24"/>
          <w:lang w:val="en-US"/>
        </w:rPr>
        <w:t xml:space="preserve">Quality of Life Research” 12(1): 63–76. </w:t>
      </w:r>
    </w:p>
    <w:p w14:paraId="130B27BC" w14:textId="77777777" w:rsidR="00943CEF" w:rsidRPr="00FA1D77" w:rsidRDefault="00943CEF" w:rsidP="00943CEF">
      <w:pPr>
        <w:pStyle w:val="NormalnyWeb"/>
        <w:spacing w:before="0" w:beforeAutospacing="0" w:after="0" w:afterAutospacing="0" w:line="360" w:lineRule="auto"/>
        <w:jc w:val="both"/>
        <w:rPr>
          <w:noProof/>
          <w:lang w:val="en-US"/>
        </w:rPr>
      </w:pPr>
      <w:r w:rsidRPr="00FA1D77">
        <w:rPr>
          <w:noProof/>
          <w:lang w:val="en-US"/>
        </w:rPr>
        <w:t xml:space="preserve">Hullmann, Stephanie E., Cortney Wolfe-Christensen, Jamie L. Ryan, David A. Fedele, Philip L. Rambo, John M. Chaney i Larry L. Mullins. 2010. </w:t>
      </w:r>
      <w:r w:rsidRPr="00FA1D77">
        <w:rPr>
          <w:i/>
          <w:noProof/>
          <w:lang w:val="en-US"/>
        </w:rPr>
        <w:t>Parental Overprotection, Perceived Child Vulnerability, and Parenting Stress: A Cross-Illness Comparison</w:t>
      </w:r>
      <w:r w:rsidRPr="00FA1D77">
        <w:rPr>
          <w:noProof/>
          <w:lang w:val="en-US"/>
        </w:rPr>
        <w:t>. „</w:t>
      </w:r>
      <w:r w:rsidRPr="00FA1D77">
        <w:rPr>
          <w:iCs/>
          <w:noProof/>
          <w:lang w:val="en-US"/>
        </w:rPr>
        <w:t>Journal of Clinical Psychology in Medical Settings”</w:t>
      </w:r>
      <w:r w:rsidRPr="00FA1D77">
        <w:rPr>
          <w:noProof/>
          <w:lang w:val="en-US"/>
        </w:rPr>
        <w:t xml:space="preserve"> 17(4): 357–365. </w:t>
      </w:r>
    </w:p>
    <w:p w14:paraId="2E0014D0" w14:textId="77777777" w:rsidR="00943CEF" w:rsidRPr="00FA1D77" w:rsidRDefault="00943CEF" w:rsidP="00943CEF">
      <w:pPr>
        <w:tabs>
          <w:tab w:val="num" w:pos="720"/>
        </w:tabs>
        <w:spacing w:after="0" w:line="360" w:lineRule="auto"/>
        <w:jc w:val="both"/>
        <w:rPr>
          <w:rFonts w:ascii="Times New Roman" w:hAnsi="Times New Roman"/>
          <w:noProof/>
          <w:sz w:val="24"/>
          <w:szCs w:val="24"/>
          <w:lang w:val="en-US"/>
        </w:rPr>
      </w:pPr>
      <w:r w:rsidRPr="00FA1D77">
        <w:rPr>
          <w:rFonts w:ascii="Times New Roman" w:hAnsi="Times New Roman"/>
          <w:noProof/>
          <w:sz w:val="24"/>
          <w:szCs w:val="24"/>
          <w:lang w:val="en-US"/>
        </w:rPr>
        <w:t xml:space="preserve">Lowton, Karen. 2002. </w:t>
      </w:r>
      <w:r w:rsidRPr="00FA1D77">
        <w:rPr>
          <w:rFonts w:ascii="Times New Roman" w:hAnsi="Times New Roman"/>
          <w:i/>
          <w:noProof/>
          <w:sz w:val="24"/>
          <w:szCs w:val="24"/>
          <w:lang w:val="en-US"/>
        </w:rPr>
        <w:t>Parents and Partners: Lay Carers’ Perceptions of their Role in the Treatment and Care of Adults with Cystic Fibrosis</w:t>
      </w:r>
      <w:r w:rsidRPr="00FA1D77">
        <w:rPr>
          <w:rFonts w:ascii="Times New Roman" w:hAnsi="Times New Roman"/>
          <w:noProof/>
          <w:sz w:val="24"/>
          <w:szCs w:val="24"/>
          <w:lang w:val="en-US"/>
        </w:rPr>
        <w:t xml:space="preserve">. </w:t>
      </w:r>
      <w:r w:rsidRPr="00FA1D77">
        <w:rPr>
          <w:rFonts w:ascii="Times New Roman" w:hAnsi="Times New Roman"/>
          <w:sz w:val="24"/>
          <w:szCs w:val="24"/>
          <w:lang w:val="en-US"/>
        </w:rPr>
        <w:t>„</w:t>
      </w:r>
      <w:r w:rsidRPr="00FA1D77">
        <w:rPr>
          <w:rFonts w:ascii="Times New Roman" w:hAnsi="Times New Roman"/>
          <w:noProof/>
          <w:sz w:val="24"/>
          <w:szCs w:val="24"/>
          <w:lang w:val="en-US"/>
        </w:rPr>
        <w:t>Journal of Advanced Nursing” 39(2): 174–181.</w:t>
      </w:r>
    </w:p>
    <w:p w14:paraId="796A5BC5" w14:textId="77777777" w:rsidR="007831EB" w:rsidRPr="00C500D5" w:rsidRDefault="007831EB" w:rsidP="007831EB">
      <w:pPr>
        <w:spacing w:after="0" w:line="360" w:lineRule="auto"/>
        <w:jc w:val="both"/>
        <w:rPr>
          <w:rFonts w:ascii="Times New Roman" w:hAnsi="Times New Roman"/>
          <w:sz w:val="24"/>
          <w:szCs w:val="24"/>
          <w:lang w:val="en-US"/>
        </w:rPr>
      </w:pPr>
    </w:p>
    <w:p w14:paraId="004F8A48" w14:textId="77777777" w:rsidR="00741D34" w:rsidRPr="00082D6A" w:rsidRDefault="00082D6A" w:rsidP="00082D6A">
      <w:pPr>
        <w:spacing w:after="0" w:line="360" w:lineRule="auto"/>
        <w:jc w:val="both"/>
        <w:rPr>
          <w:rFonts w:ascii="Times New Roman" w:hAnsi="Times New Roman"/>
          <w:i/>
          <w:sz w:val="24"/>
          <w:szCs w:val="24"/>
          <w:lang w:val="en-US"/>
        </w:rPr>
      </w:pPr>
      <w:commentRangeStart w:id="11"/>
      <w:r w:rsidRPr="00082D6A">
        <w:rPr>
          <w:rFonts w:ascii="Times New Roman" w:hAnsi="Times New Roman"/>
          <w:sz w:val="24"/>
          <w:szCs w:val="24"/>
          <w:lang w:val="en-US"/>
        </w:rPr>
        <w:t xml:space="preserve">TITLE: SAMPLE FOR “ZADANIE </w:t>
      </w:r>
      <w:r w:rsidR="00612530">
        <w:rPr>
          <w:rFonts w:ascii="Times New Roman" w:hAnsi="Times New Roman"/>
          <w:sz w:val="24"/>
          <w:szCs w:val="24"/>
          <w:lang w:val="en-US"/>
        </w:rPr>
        <w:t>1</w:t>
      </w:r>
      <w:r w:rsidRPr="00082D6A">
        <w:rPr>
          <w:rFonts w:ascii="Times New Roman" w:hAnsi="Times New Roman"/>
          <w:sz w:val="24"/>
          <w:szCs w:val="24"/>
          <w:lang w:val="en-US"/>
        </w:rPr>
        <w:t xml:space="preserve">” – DEGREE OF DIFFICULTY </w:t>
      </w:r>
      <w:r>
        <w:rPr>
          <w:rFonts w:ascii="Times New Roman" w:hAnsi="Times New Roman"/>
          <w:sz w:val="24"/>
          <w:szCs w:val="24"/>
          <w:lang w:val="en-US"/>
        </w:rPr>
        <w:t>UNDER 20</w:t>
      </w:r>
      <w:r w:rsidRPr="00082D6A">
        <w:rPr>
          <w:rFonts w:ascii="Times New Roman" w:hAnsi="Times New Roman"/>
          <w:sz w:val="24"/>
          <w:szCs w:val="24"/>
          <w:lang w:val="en-US"/>
        </w:rPr>
        <w:t>%</w:t>
      </w:r>
      <w:commentRangeEnd w:id="11"/>
      <w:r w:rsidR="00AD0180">
        <w:rPr>
          <w:rStyle w:val="Odwoaniedokomentarza"/>
        </w:rPr>
        <w:commentReference w:id="11"/>
      </w:r>
    </w:p>
    <w:p w14:paraId="0678AD6C" w14:textId="77777777" w:rsidR="00943CEF" w:rsidRPr="00943CEF" w:rsidRDefault="00943CEF" w:rsidP="00943CEF">
      <w:pPr>
        <w:spacing w:after="0" w:line="360" w:lineRule="auto"/>
        <w:jc w:val="both"/>
        <w:rPr>
          <w:rFonts w:ascii="Times New Roman" w:hAnsi="Times New Roman"/>
          <w:sz w:val="24"/>
          <w:szCs w:val="24"/>
          <w:lang w:val="en-US"/>
        </w:rPr>
      </w:pPr>
      <w:r w:rsidRPr="00943CEF">
        <w:rPr>
          <w:rFonts w:ascii="Times New Roman" w:hAnsi="Times New Roman"/>
          <w:sz w:val="24"/>
          <w:szCs w:val="24"/>
          <w:lang w:val="en-US"/>
        </w:rPr>
        <w:t>The social consequences of cystic fibrosis are rarely analysed from the perspective of medical sociology. In Poland</w:t>
      </w:r>
      <w:r>
        <w:rPr>
          <w:rFonts w:ascii="Times New Roman" w:hAnsi="Times New Roman"/>
          <w:sz w:val="24"/>
          <w:szCs w:val="24"/>
          <w:lang w:val="en-US"/>
        </w:rPr>
        <w:t>,</w:t>
      </w:r>
      <w:r w:rsidRPr="00943CEF">
        <w:rPr>
          <w:rFonts w:ascii="Times New Roman" w:hAnsi="Times New Roman"/>
          <w:sz w:val="24"/>
          <w:szCs w:val="24"/>
          <w:lang w:val="en-US"/>
        </w:rPr>
        <w:t xml:space="preserve"> approximately 1500 people suffer from this genetic disease, and only about 100 of them are people aged 30 years and over. The disease requires a lot of effort to cope with its symptoms as well as with the treatment regimen. They concern the patient itself and their caregivers in the event the patients are children. The treatment also demands high expenses for the necessary medications, dietary supplements, aids for proper rehabilitation and respiratory tract hygiene. Insufficient knowledge about cystic fibrosis in the society implies a lack of understanding for people suffering from the disease, inappropriate interpretation of the symptoms (mainly cough), frequent discrimination and social exclusion leading to social isolation and a feeling of being an out-sider, which may result in low self-esteem of people suffering from cystic fibrosis. </w:t>
      </w:r>
    </w:p>
    <w:p w14:paraId="5EA1C3BA" w14:textId="77777777" w:rsidR="007831EB" w:rsidRDefault="00943CEF" w:rsidP="00943CEF">
      <w:pPr>
        <w:spacing w:after="0" w:line="360" w:lineRule="auto"/>
        <w:jc w:val="both"/>
        <w:rPr>
          <w:rFonts w:ascii="Times New Roman" w:hAnsi="Times New Roman"/>
          <w:sz w:val="24"/>
          <w:szCs w:val="24"/>
          <w:lang w:val="en-US"/>
        </w:rPr>
      </w:pPr>
      <w:r w:rsidRPr="00943CEF">
        <w:rPr>
          <w:rFonts w:ascii="Times New Roman" w:hAnsi="Times New Roman"/>
          <w:sz w:val="24"/>
          <w:szCs w:val="24"/>
          <w:lang w:val="en-US"/>
        </w:rPr>
        <w:t>The social perception of people with cystic fibrosis, according to respondents, resulted from frequent episodes of cough, body image, a feeling of being thin and the fact that in about 50% of respondents, the consequences of the disease restricted their social participation. The cough was a reason to avoid contact with cystic fibrosis patients in different social circumstances,</w:t>
      </w:r>
      <w:r>
        <w:rPr>
          <w:rFonts w:ascii="Times New Roman" w:hAnsi="Times New Roman"/>
          <w:sz w:val="24"/>
          <w:szCs w:val="24"/>
          <w:lang w:val="en-US"/>
        </w:rPr>
        <w:t xml:space="preserve"> which proves that an incorrect</w:t>
      </w:r>
      <w:r w:rsidRPr="00943CEF">
        <w:rPr>
          <w:rFonts w:ascii="Times New Roman" w:hAnsi="Times New Roman"/>
          <w:sz w:val="24"/>
          <w:szCs w:val="24"/>
          <w:lang w:val="en-US"/>
        </w:rPr>
        <w:t xml:space="preserve"> interpretation of disease symptoms leads to a break up in social interactions, stigmatisation and social exclusion. The feeling of social isolation and of being stigmatized was more often observed in adult patients, and their quality of life in some dimensions was lower. In each age group the feeling of stigmatisation, isolation and exclusion was accompanied by lower assessment of the health-related quality of life</w:t>
      </w:r>
      <w:r w:rsidR="007831EB" w:rsidRPr="006A42E8">
        <w:rPr>
          <w:rFonts w:ascii="Times New Roman" w:hAnsi="Times New Roman"/>
          <w:sz w:val="24"/>
          <w:szCs w:val="24"/>
          <w:lang w:val="en-US"/>
        </w:rPr>
        <w:t>.</w:t>
      </w:r>
    </w:p>
    <w:p w14:paraId="7EDEA752" w14:textId="77777777" w:rsidR="008E44FF" w:rsidRPr="006A42E8" w:rsidRDefault="008E44FF" w:rsidP="00D9169A">
      <w:pPr>
        <w:spacing w:after="0" w:line="360" w:lineRule="auto"/>
        <w:jc w:val="both"/>
        <w:rPr>
          <w:rFonts w:ascii="Times New Roman" w:hAnsi="Times New Roman"/>
          <w:sz w:val="24"/>
          <w:szCs w:val="24"/>
          <w:lang w:val="en-US"/>
        </w:rPr>
      </w:pPr>
    </w:p>
    <w:p w14:paraId="3EC5EC4D" w14:textId="77777777" w:rsidR="007831EB" w:rsidRPr="006A42E8" w:rsidRDefault="007831EB" w:rsidP="007831EB">
      <w:pPr>
        <w:spacing w:after="0" w:line="360" w:lineRule="auto"/>
        <w:rPr>
          <w:rFonts w:ascii="Times New Roman" w:hAnsi="Times New Roman"/>
          <w:sz w:val="24"/>
          <w:szCs w:val="24"/>
          <w:shd w:val="clear" w:color="auto" w:fill="FFFFFF"/>
          <w:lang w:val="en-US"/>
        </w:rPr>
      </w:pPr>
      <w:commentRangeStart w:id="12"/>
      <w:r w:rsidRPr="006A42E8">
        <w:rPr>
          <w:rFonts w:ascii="Times New Roman" w:hAnsi="Times New Roman"/>
          <w:sz w:val="24"/>
          <w:szCs w:val="24"/>
          <w:lang w:val="en-US"/>
        </w:rPr>
        <w:t xml:space="preserve">Keywords: </w:t>
      </w:r>
      <w:r w:rsidR="00943CEF" w:rsidRPr="00943CEF">
        <w:rPr>
          <w:rFonts w:ascii="Times New Roman" w:hAnsi="Times New Roman"/>
          <w:sz w:val="24"/>
          <w:szCs w:val="24"/>
          <w:lang w:val="en-US"/>
        </w:rPr>
        <w:t>cystic fibrosis, quality of life, stigmatization, social isolation</w:t>
      </w:r>
      <w:commentRangeEnd w:id="12"/>
      <w:r w:rsidR="00AD0180">
        <w:rPr>
          <w:rStyle w:val="Odwoaniedokomentarza"/>
        </w:rPr>
        <w:commentReference w:id="12"/>
      </w:r>
    </w:p>
    <w:sectPr w:rsidR="007831EB" w:rsidRPr="006A42E8" w:rsidSect="004649C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C" w:date="2024-03-06T10:29:00Z" w:initials="JC">
    <w:p w14:paraId="4A0ED56D" w14:textId="77777777" w:rsidR="00DB44D5" w:rsidRDefault="00DB44D5" w:rsidP="00DB44D5">
      <w:pPr>
        <w:pStyle w:val="Tekstkomentarza"/>
      </w:pPr>
      <w:r>
        <w:rPr>
          <w:rStyle w:val="Odwoaniedokomentarza"/>
        </w:rPr>
        <w:annotationRef/>
      </w:r>
      <w:r>
        <w:t>U dołu kolumny, zgodnie z próbką wzorcową, przypis afiliacyjny z odsyłaczem gwiazdkowym:</w:t>
      </w:r>
    </w:p>
    <w:p w14:paraId="51A2A029" w14:textId="361EA33F" w:rsidR="00DB44D5" w:rsidRDefault="00DB44D5" w:rsidP="00DB44D5">
      <w:pPr>
        <w:pStyle w:val="Tekstkomentarza"/>
      </w:pPr>
      <w:r>
        <w:t>Adres do korespondencji: Anna Kowalska-Nowak, Wydział Humanistyczny Akademii Górniczo-Hutniczej w Krakowie; e-mail: a.kowalska.nowak@agh.edu.pl</w:t>
      </w:r>
    </w:p>
  </w:comment>
  <w:comment w:id="1" w:author="JC" w:date="2024-03-06T10:29:00Z" w:initials="JC">
    <w:p w14:paraId="2DF7920C" w14:textId="77777777" w:rsidR="00DB44D5" w:rsidRDefault="00DB44D5" w:rsidP="00DB44D5">
      <w:pPr>
        <w:pStyle w:val="Tekstkomentarza"/>
      </w:pPr>
      <w:r>
        <w:rPr>
          <w:rStyle w:val="Odwoaniedokomentarza"/>
        </w:rPr>
        <w:annotationRef/>
      </w:r>
      <w:r>
        <w:t>U góry kolumny, zgodnie z próbką wzorcową, tytuł czasopisma i adres DOI:</w:t>
      </w:r>
    </w:p>
    <w:p w14:paraId="0DAA99B9" w14:textId="40F20708" w:rsidR="00DB44D5" w:rsidRDefault="00DB44D5" w:rsidP="00DB44D5">
      <w:pPr>
        <w:pStyle w:val="Tekstkomentarza"/>
      </w:pPr>
      <w:r>
        <w:t>STUDIA HUMANISTYTCZNE AGH Tom 2</w:t>
      </w:r>
      <w:r>
        <w:t>6</w:t>
      </w:r>
      <w:r>
        <w:t>/1 •202</w:t>
      </w:r>
      <w:r>
        <w:t>4</w:t>
      </w:r>
    </w:p>
    <w:p w14:paraId="7CAF727E" w14:textId="5BF88774" w:rsidR="00DB44D5" w:rsidRDefault="00DB44D5" w:rsidP="00DB44D5">
      <w:pPr>
        <w:pStyle w:val="Tekstkomentarza"/>
      </w:pPr>
      <w:r>
        <w:t>https://doi.org/10.794/human.202</w:t>
      </w:r>
      <w:r>
        <w:t>4</w:t>
      </w:r>
      <w:r>
        <w:t>.2</w:t>
      </w:r>
      <w:r>
        <w:t>6</w:t>
      </w:r>
      <w:r>
        <w:t>.1.1</w:t>
      </w:r>
    </w:p>
  </w:comment>
  <w:comment w:id="2" w:author="JC" w:date="2024-03-06T10:30:00Z" w:initials="JC">
    <w:p w14:paraId="74F3F651" w14:textId="77777777" w:rsidR="00DB44D5" w:rsidRDefault="00DB44D5" w:rsidP="00DB44D5">
      <w:pPr>
        <w:pStyle w:val="Tekstkomentarza"/>
      </w:pPr>
      <w:r>
        <w:rPr>
          <w:rStyle w:val="Odwoaniedokomentarza"/>
        </w:rPr>
        <w:annotationRef/>
      </w:r>
      <w:r>
        <w:rPr>
          <w:rStyle w:val="Odwoaniedokomentarza"/>
        </w:rPr>
        <w:annotationRef/>
      </w:r>
      <w:r>
        <w:t>streszczenie</w:t>
      </w:r>
    </w:p>
    <w:p w14:paraId="5FDAEF54" w14:textId="4E3D733E" w:rsidR="00DB44D5" w:rsidRDefault="00DB44D5">
      <w:pPr>
        <w:pStyle w:val="Tekstkomentarza"/>
      </w:pPr>
    </w:p>
  </w:comment>
  <w:comment w:id="3" w:author="JC" w:date="2024-03-06T10:30:00Z" w:initials="JC">
    <w:p w14:paraId="5425A625" w14:textId="66FDB37E" w:rsidR="00DB44D5" w:rsidRDefault="00DB44D5">
      <w:pPr>
        <w:pStyle w:val="Tekstkomentarza"/>
      </w:pPr>
      <w:r>
        <w:rPr>
          <w:rStyle w:val="Odwoaniedokomentarza"/>
        </w:rPr>
        <w:annotationRef/>
      </w:r>
      <w:r>
        <w:t>słowa kluczowe</w:t>
      </w:r>
    </w:p>
  </w:comment>
  <w:comment w:id="4" w:author="JC" w:date="2024-03-06T10:38:00Z" w:initials="JC">
    <w:p w14:paraId="67DAEAFB" w14:textId="363DC494" w:rsidR="00262BB5" w:rsidRDefault="00262BB5">
      <w:pPr>
        <w:pStyle w:val="Tekstkomentarza"/>
      </w:pPr>
      <w:r>
        <w:rPr>
          <w:rStyle w:val="Odwoaniedokomentarza"/>
        </w:rPr>
        <w:annotationRef/>
      </w:r>
      <w:r w:rsidRPr="00262BB5">
        <w:t>Lista wyliczeniowa - styl wyliczeń zgodnie z próbką wzorcową</w:t>
      </w:r>
    </w:p>
  </w:comment>
  <w:comment w:id="5" w:author="JC" w:date="2024-03-06T10:38:00Z" w:initials="JC">
    <w:p w14:paraId="15628343" w14:textId="3E0E099A" w:rsidR="00262BB5" w:rsidRDefault="00262BB5">
      <w:pPr>
        <w:pStyle w:val="Tekstkomentarza"/>
      </w:pPr>
      <w:r>
        <w:rPr>
          <w:rStyle w:val="Odwoaniedokomentarza"/>
        </w:rPr>
        <w:annotationRef/>
      </w:r>
      <w:r>
        <w:t>Żółtym podświetlaczem zaznaczono powołania na rysunki i tabele; rysunki i tabele proszę włamać możliwie jak najbliżej powołań na nie.</w:t>
      </w:r>
    </w:p>
  </w:comment>
  <w:comment w:id="6" w:author="JC" w:date="2024-03-06T10:41:00Z" w:initials="JC">
    <w:p w14:paraId="4D3BD02C" w14:textId="2878E961" w:rsidR="00262BB5" w:rsidRDefault="00262BB5">
      <w:pPr>
        <w:pStyle w:val="Tekstkomentarza"/>
      </w:pPr>
      <w:r>
        <w:rPr>
          <w:rStyle w:val="Odwoaniedokomentarza"/>
        </w:rPr>
        <w:annotationRef/>
      </w:r>
      <w:r w:rsidRPr="00262BB5">
        <w:t>Kolorem czerwonym wyróżniono cytaty eksponowane: skład w bloczkach, na zawężonej kolumnie i czcionką mniejszą od tekstowej</w:t>
      </w:r>
    </w:p>
  </w:comment>
  <w:comment w:id="7" w:author="JC" w:date="2024-03-06T10:42:00Z" w:initials="JC">
    <w:p w14:paraId="66DEC49F" w14:textId="61087F62" w:rsidR="00262BB5" w:rsidRDefault="00262BB5">
      <w:pPr>
        <w:pStyle w:val="Tekstkomentarza"/>
      </w:pPr>
      <w:r>
        <w:rPr>
          <w:rStyle w:val="Odwoaniedokomentarza"/>
        </w:rPr>
        <w:annotationRef/>
      </w:r>
      <w:r w:rsidRPr="001B4A4D">
        <w:t>Proszę o wykonanie opisów na rysunku ze składu</w:t>
      </w:r>
    </w:p>
  </w:comment>
  <w:comment w:id="8" w:author="Joanna Ciągała" w:date="2023-02-01T09:36:00Z" w:initials="JC">
    <w:p w14:paraId="140B1974" w14:textId="0033AE65" w:rsidR="00D9169A" w:rsidRDefault="00D9169A">
      <w:pPr>
        <w:pStyle w:val="Tekstkomentarza"/>
      </w:pPr>
      <w:r>
        <w:rPr>
          <w:rStyle w:val="Odwoaniedokomentarza"/>
        </w:rPr>
        <w:annotationRef/>
      </w:r>
      <w:r>
        <w:t>Przypis do tabeli</w:t>
      </w:r>
    </w:p>
  </w:comment>
  <w:comment w:id="9" w:author="JC" w:date="2024-03-06T10:44:00Z" w:initials="JC">
    <w:p w14:paraId="23D5DA9C" w14:textId="0204D7AC" w:rsidR="00AD0180" w:rsidRDefault="00AD0180">
      <w:pPr>
        <w:pStyle w:val="Tekstkomentarza"/>
      </w:pPr>
      <w:r>
        <w:rPr>
          <w:rStyle w:val="Odwoaniedokomentarza"/>
        </w:rPr>
        <w:annotationRef/>
      </w:r>
      <w:r>
        <w:t>Przypis do tabeli</w:t>
      </w:r>
    </w:p>
  </w:comment>
  <w:comment w:id="10" w:author="JC" w:date="2024-03-06T10:45:00Z" w:initials="JC">
    <w:p w14:paraId="456619A9" w14:textId="276EC767" w:rsidR="00AD0180" w:rsidRDefault="00AD0180">
      <w:pPr>
        <w:pStyle w:val="Tekstkomentarza"/>
      </w:pPr>
      <w:r>
        <w:rPr>
          <w:rStyle w:val="Odwoaniedokomentarza"/>
        </w:rPr>
        <w:annotationRef/>
      </w:r>
      <w:r w:rsidRPr="001B4A4D">
        <w:t>Proszę o wykonanie opisów na rysunku ze składu</w:t>
      </w:r>
    </w:p>
  </w:comment>
  <w:comment w:id="11" w:author="JC" w:date="2024-03-06T10:46:00Z" w:initials="JC">
    <w:p w14:paraId="05BDE93D" w14:textId="226C6DB9" w:rsidR="00AD0180" w:rsidRDefault="00AD0180">
      <w:pPr>
        <w:pStyle w:val="Tekstkomentarza"/>
      </w:pPr>
      <w:r>
        <w:rPr>
          <w:rStyle w:val="Odwoaniedokomentarza"/>
        </w:rPr>
        <w:annotationRef/>
      </w:r>
      <w:r w:rsidRPr="00AD0180">
        <w:t>abstract</w:t>
      </w:r>
    </w:p>
  </w:comment>
  <w:comment w:id="12" w:author="JC" w:date="2024-03-06T10:47:00Z" w:initials="JC">
    <w:p w14:paraId="7EEAFC01" w14:textId="7AA8F00D" w:rsidR="00AD0180" w:rsidRDefault="00AD0180">
      <w:pPr>
        <w:pStyle w:val="Tekstkomentarza"/>
      </w:pPr>
      <w:r>
        <w:rPr>
          <w:rStyle w:val="Odwoaniedokomentarza"/>
        </w:rPr>
        <w:annotationRef/>
      </w:r>
      <w:r w:rsidRPr="00AD0180">
        <w:t>keywords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A2A029" w15:done="0"/>
  <w15:commentEx w15:paraId="7CAF727E" w15:done="0"/>
  <w15:commentEx w15:paraId="5FDAEF54" w15:done="0"/>
  <w15:commentEx w15:paraId="5425A625" w15:done="0"/>
  <w15:commentEx w15:paraId="67DAEAFB" w15:done="0"/>
  <w15:commentEx w15:paraId="15628343" w15:done="0"/>
  <w15:commentEx w15:paraId="4D3BD02C" w15:done="0"/>
  <w15:commentEx w15:paraId="66DEC49F" w15:done="0"/>
  <w15:commentEx w15:paraId="140B1974" w15:done="0"/>
  <w15:commentEx w15:paraId="23D5DA9C" w15:done="0"/>
  <w15:commentEx w15:paraId="456619A9" w15:done="0"/>
  <w15:commentEx w15:paraId="05BDE93D" w15:done="0"/>
  <w15:commentEx w15:paraId="7EEAFC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D260C1" w16cex:dateUtc="2024-03-06T09:29:00Z"/>
  <w16cex:commentExtensible w16cex:durableId="36A907CB" w16cex:dateUtc="2024-03-06T09:29:00Z"/>
  <w16cex:commentExtensible w16cex:durableId="5996C32E" w16cex:dateUtc="2024-03-06T09:30:00Z"/>
  <w16cex:commentExtensible w16cex:durableId="4609290B" w16cex:dateUtc="2024-03-06T09:30:00Z"/>
  <w16cex:commentExtensible w16cex:durableId="2E4125D6" w16cex:dateUtc="2024-03-06T09:38:00Z"/>
  <w16cex:commentExtensible w16cex:durableId="701920A2" w16cex:dateUtc="2024-03-06T09:38:00Z"/>
  <w16cex:commentExtensible w16cex:durableId="18DFA580" w16cex:dateUtc="2024-03-06T09:41:00Z"/>
  <w16cex:commentExtensible w16cex:durableId="208FAF5A" w16cex:dateUtc="2024-03-06T09:42:00Z"/>
  <w16cex:commentExtensible w16cex:durableId="2784B10D" w16cex:dateUtc="2023-02-01T08:36:00Z"/>
  <w16cex:commentExtensible w16cex:durableId="7948100E" w16cex:dateUtc="2024-03-06T09:44:00Z"/>
  <w16cex:commentExtensible w16cex:durableId="1DF9C48A" w16cex:dateUtc="2024-03-06T09:45:00Z"/>
  <w16cex:commentExtensible w16cex:durableId="17F387C4" w16cex:dateUtc="2024-03-06T09:46:00Z"/>
  <w16cex:commentExtensible w16cex:durableId="4D1A23F0" w16cex:dateUtc="2024-03-06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2A029" w16cid:durableId="0FD260C1"/>
  <w16cid:commentId w16cid:paraId="7CAF727E" w16cid:durableId="36A907CB"/>
  <w16cid:commentId w16cid:paraId="5FDAEF54" w16cid:durableId="5996C32E"/>
  <w16cid:commentId w16cid:paraId="5425A625" w16cid:durableId="4609290B"/>
  <w16cid:commentId w16cid:paraId="67DAEAFB" w16cid:durableId="2E4125D6"/>
  <w16cid:commentId w16cid:paraId="15628343" w16cid:durableId="701920A2"/>
  <w16cid:commentId w16cid:paraId="4D3BD02C" w16cid:durableId="18DFA580"/>
  <w16cid:commentId w16cid:paraId="66DEC49F" w16cid:durableId="208FAF5A"/>
  <w16cid:commentId w16cid:paraId="140B1974" w16cid:durableId="2784B10D"/>
  <w16cid:commentId w16cid:paraId="23D5DA9C" w16cid:durableId="7948100E"/>
  <w16cid:commentId w16cid:paraId="456619A9" w16cid:durableId="1DF9C48A"/>
  <w16cid:commentId w16cid:paraId="05BDE93D" w16cid:durableId="17F387C4"/>
  <w16cid:commentId w16cid:paraId="7EEAFC01" w16cid:durableId="4D1A23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9EA5" w14:textId="77777777" w:rsidR="004649C4" w:rsidRDefault="004649C4" w:rsidP="007831EB">
      <w:pPr>
        <w:spacing w:after="0" w:line="240" w:lineRule="auto"/>
      </w:pPr>
      <w:r>
        <w:separator/>
      </w:r>
    </w:p>
  </w:endnote>
  <w:endnote w:type="continuationSeparator" w:id="0">
    <w:p w14:paraId="4575CD4C" w14:textId="77777777" w:rsidR="004649C4" w:rsidRDefault="004649C4" w:rsidP="00783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KTQQU U+ Myriad Pro">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DF08" w14:textId="77777777" w:rsidR="004649C4" w:rsidRDefault="004649C4" w:rsidP="007831EB">
      <w:pPr>
        <w:spacing w:after="0" w:line="240" w:lineRule="auto"/>
      </w:pPr>
      <w:r>
        <w:separator/>
      </w:r>
    </w:p>
  </w:footnote>
  <w:footnote w:type="continuationSeparator" w:id="0">
    <w:p w14:paraId="30B5FAD2" w14:textId="77777777" w:rsidR="004649C4" w:rsidRDefault="004649C4" w:rsidP="007831EB">
      <w:pPr>
        <w:spacing w:after="0" w:line="240" w:lineRule="auto"/>
      </w:pPr>
      <w:r>
        <w:continuationSeparator/>
      </w:r>
    </w:p>
  </w:footnote>
  <w:footnote w:id="1">
    <w:p w14:paraId="102F2AED" w14:textId="77777777" w:rsidR="00813701" w:rsidRPr="00AA4948" w:rsidRDefault="00813701" w:rsidP="002320D1">
      <w:pPr>
        <w:pStyle w:val="Tekstprzypisudolnego"/>
        <w:jc w:val="both"/>
        <w:rPr>
          <w:rFonts w:ascii="Times New Roman" w:hAnsi="Times New Roman"/>
          <w:sz w:val="18"/>
          <w:szCs w:val="18"/>
        </w:rPr>
      </w:pPr>
      <w:r w:rsidRPr="00AA4948">
        <w:rPr>
          <w:rStyle w:val="Odwoanieprzypisudolnego"/>
          <w:rFonts w:ascii="Times New Roman" w:hAnsi="Times New Roman"/>
          <w:sz w:val="18"/>
          <w:szCs w:val="18"/>
        </w:rPr>
        <w:footnoteRef/>
      </w:r>
      <w:r w:rsidRPr="00AA4948">
        <w:rPr>
          <w:rFonts w:ascii="Times New Roman" w:hAnsi="Times New Roman"/>
          <w:sz w:val="18"/>
          <w:szCs w:val="18"/>
        </w:rPr>
        <w:t xml:space="preserve"> </w:t>
      </w:r>
      <w:r w:rsidR="009B0182" w:rsidRPr="00AA4948">
        <w:rPr>
          <w:rFonts w:ascii="Times New Roman" w:hAnsi="Times New Roman"/>
          <w:sz w:val="18"/>
          <w:szCs w:val="18"/>
        </w:rPr>
        <w:t xml:space="preserve">Więcej zob. wyniki modułu E. Giermanowska, A. Kumaniecka-Wiśniewska, M. Racław, E. Zakrzewska-Manterys, </w:t>
      </w:r>
      <w:r w:rsidR="009B0182" w:rsidRPr="00AA4948">
        <w:rPr>
          <w:rFonts w:ascii="Times New Roman" w:hAnsi="Times New Roman"/>
          <w:i/>
          <w:sz w:val="18"/>
          <w:szCs w:val="18"/>
        </w:rPr>
        <w:t>Wejście na rynek pracy absolwentów szkół wyższych. Integracja społeczna i zawodowa</w:t>
      </w:r>
      <w:r w:rsidR="009B0182" w:rsidRPr="00AA4948">
        <w:rPr>
          <w:rFonts w:ascii="Times New Roman" w:hAnsi="Times New Roman"/>
          <w:sz w:val="18"/>
          <w:szCs w:val="18"/>
        </w:rPr>
        <w:t xml:space="preserve">, badań wykonanych w ramach projektu </w:t>
      </w:r>
      <w:r w:rsidR="009B0182" w:rsidRPr="00AA4948">
        <w:rPr>
          <w:rFonts w:ascii="Times New Roman" w:hAnsi="Times New Roman"/>
          <w:i/>
          <w:sz w:val="18"/>
          <w:szCs w:val="18"/>
        </w:rPr>
        <w:t>Od kompleksowej diagnozy sytuacji osób niepełnosprawnych w Polsce do nowego modelu polityki społecznej wobec niepełnosprawności</w:t>
      </w:r>
      <w:r w:rsidR="009B0182" w:rsidRPr="00AA4948">
        <w:rPr>
          <w:rFonts w:ascii="Times New Roman" w:hAnsi="Times New Roman"/>
          <w:sz w:val="18"/>
          <w:szCs w:val="18"/>
        </w:rPr>
        <w:t xml:space="preserve"> kierowanego przez prof. Barbarę Gąciarz, realizowanego przez Wydział Humanistyczny Akademii Górniczo-Hutniczej z Krakowa w latach 2012–2014, finansowanego przez PFRON.</w:t>
      </w:r>
    </w:p>
  </w:footnote>
  <w:footnote w:id="2">
    <w:p w14:paraId="7C8E706E" w14:textId="671F4304" w:rsidR="0012154E" w:rsidRPr="00AA4948" w:rsidRDefault="0012154E" w:rsidP="00D9044A">
      <w:pPr>
        <w:jc w:val="both"/>
        <w:rPr>
          <w:rFonts w:ascii="Times New Roman" w:hAnsi="Times New Roman"/>
        </w:rPr>
      </w:pPr>
      <w:r w:rsidRPr="003B5272">
        <w:rPr>
          <w:rStyle w:val="Odwoanieprzypisudolnego"/>
          <w:sz w:val="18"/>
          <w:szCs w:val="18"/>
        </w:rPr>
        <w:footnoteRef/>
      </w:r>
      <w:r w:rsidRPr="003B5272">
        <w:rPr>
          <w:sz w:val="18"/>
          <w:szCs w:val="18"/>
        </w:rPr>
        <w:t xml:space="preserve"> </w:t>
      </w:r>
      <w:r w:rsidRPr="00AA4948">
        <w:rPr>
          <w:rFonts w:ascii="Times New Roman" w:hAnsi="Times New Roman"/>
          <w:sz w:val="18"/>
          <w:szCs w:val="18"/>
        </w:rPr>
        <w:t xml:space="preserve">Na temat zagrożenia wykluczeniem społecznym oraz specyfiki sytuacji kobiet z niepełnosprawnością piszą między innymi: Chodkowska 1993; </w:t>
      </w:r>
      <w:r w:rsidRPr="00AA4948">
        <w:rPr>
          <w:rFonts w:ascii="Times New Roman" w:hAnsi="Times New Roman"/>
          <w:color w:val="000000"/>
          <w:sz w:val="18"/>
          <w:szCs w:val="18"/>
        </w:rPr>
        <w:t>Nowak 2012; Gruntowski i Mirek 2013; Ciaputa, Król i Warat 2014: 275–334.</w:t>
      </w:r>
      <w:r w:rsidRPr="00AA4948">
        <w:rPr>
          <w:rFonts w:ascii="Times New Roman" w:hAnsi="Times New Roman"/>
          <w:sz w:val="20"/>
          <w:szCs w:val="20"/>
        </w:rPr>
        <w:t xml:space="preserve"> </w:t>
      </w:r>
      <w:r w:rsidRPr="00AA4948">
        <w:rPr>
          <w:rFonts w:ascii="Times New Roman" w:hAnsi="Times New Roman"/>
          <w:color w:val="000000"/>
          <w:sz w:val="18"/>
          <w:szCs w:val="18"/>
        </w:rPr>
        <w:t>Taka diagnoza sytuacji osób niepełnosprawnych rysuje się między innymi po zakończeniu projektu „Od kompleksowej diagnozy sytuacji osób niepełnosprawnych w Polsce do nowego modelu polityki społecznej wobec niepełnosprawności”, który był realizowany w latach 2012–2013 pod kierunkiem Barbary Gąciarz przez zespół badawczy socjologów z Wydziału Humanistycznego Akademii Górniczo-Hutniczej w Krakowie oraz Uniwersytetu Jagiellońskiego i Uniwersytetu Warszawskiego. Ze względu na nieustrukturyzowany charakter wykorzystanych technik badawczych, a także z uwagi na szerszy zakres prowadzonych badań, wykraczający poza opisane w niniejszym artykule zagadnienia, podejmowane w nich wątki były zróżnicowane, koncentrując się jednak wokół zasadniczego problemu badawczego, jakim była rola aktywności fizycznej i uprawiania sportu przez osoby z niepełnosprawnością fizyczną.</w:t>
      </w:r>
      <w:r w:rsidR="00D9044A" w:rsidRPr="00AA4948">
        <w:rPr>
          <w:rFonts w:ascii="Times New Roman" w:hAnsi="Times New Roman"/>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7F23B7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multilevel"/>
    <w:tmpl w:val="00000003"/>
    <w:name w:val="WW8Num3"/>
    <w:lvl w:ilvl="0">
      <w:start w:val="1"/>
      <w:numFmt w:val="lowerLetter"/>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10"/>
    <w:lvl w:ilvl="0">
      <w:start w:val="1"/>
      <w:numFmt w:val="bullet"/>
      <w:lvlText w:val=""/>
      <w:lvlJc w:val="left"/>
      <w:pPr>
        <w:tabs>
          <w:tab w:val="num" w:pos="720"/>
        </w:tabs>
        <w:ind w:left="720" w:hanging="360"/>
      </w:pPr>
      <w:rPr>
        <w:rFonts w:ascii="Symbol" w:hAnsi="Symbol" w:cs="Symbol" w:hint="default"/>
        <w:color w:val="000000"/>
        <w:sz w:val="20"/>
        <w:szCs w:val="24"/>
        <w:lang w:eastAsia="pl-PL"/>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0C11DB7"/>
    <w:multiLevelType w:val="hybridMultilevel"/>
    <w:tmpl w:val="2DC2F4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9F1A5E"/>
    <w:multiLevelType w:val="hybridMultilevel"/>
    <w:tmpl w:val="613EF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7740FC"/>
    <w:multiLevelType w:val="multilevel"/>
    <w:tmpl w:val="89DC1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487D75"/>
    <w:multiLevelType w:val="hybridMultilevel"/>
    <w:tmpl w:val="2062D190"/>
    <w:lvl w:ilvl="0" w:tplc="137835A8">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4B07CE"/>
    <w:multiLevelType w:val="hybridMultilevel"/>
    <w:tmpl w:val="C07005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DD17A5"/>
    <w:multiLevelType w:val="hybridMultilevel"/>
    <w:tmpl w:val="94CE4A60"/>
    <w:lvl w:ilvl="0" w:tplc="F92A791A">
      <w:numFmt w:val="bullet"/>
      <w:lvlText w:val="-"/>
      <w:lvlJc w:val="left"/>
      <w:pPr>
        <w:tabs>
          <w:tab w:val="num" w:pos="1080"/>
        </w:tabs>
        <w:ind w:left="1080" w:hanging="360"/>
      </w:pPr>
      <w:rPr>
        <w:rFonts w:ascii="Times New Roman" w:eastAsia="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2D058D7"/>
    <w:multiLevelType w:val="hybridMultilevel"/>
    <w:tmpl w:val="205485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97155F"/>
    <w:multiLevelType w:val="hybridMultilevel"/>
    <w:tmpl w:val="29867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2B4E1C"/>
    <w:multiLevelType w:val="hybridMultilevel"/>
    <w:tmpl w:val="A0C09730"/>
    <w:lvl w:ilvl="0" w:tplc="19A2B9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981072"/>
    <w:multiLevelType w:val="hybridMultilevel"/>
    <w:tmpl w:val="CBEE04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234302"/>
    <w:multiLevelType w:val="hybridMultilevel"/>
    <w:tmpl w:val="8CC87A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FA00ED"/>
    <w:multiLevelType w:val="hybridMultilevel"/>
    <w:tmpl w:val="874C0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433D2E"/>
    <w:multiLevelType w:val="hybridMultilevel"/>
    <w:tmpl w:val="AC82A788"/>
    <w:lvl w:ilvl="0" w:tplc="219E05F4">
      <w:start w:val="1"/>
      <w:numFmt w:val="bullet"/>
      <w:lvlText w:val=""/>
      <w:lvlJc w:val="left"/>
      <w:pPr>
        <w:tabs>
          <w:tab w:val="num" w:pos="720"/>
        </w:tabs>
        <w:ind w:left="720" w:hanging="360"/>
      </w:pPr>
      <w:rPr>
        <w:rFonts w:ascii="Symbol" w:hAnsi="Symbol" w:hint="default"/>
        <w:b w:val="0"/>
        <w:i w:val="0"/>
        <w:color w:val="auto"/>
        <w:sz w:val="24"/>
      </w:rPr>
    </w:lvl>
    <w:lvl w:ilvl="1" w:tplc="4A4EE67E" w:tentative="1">
      <w:start w:val="1"/>
      <w:numFmt w:val="decimal"/>
      <w:lvlText w:val="%2."/>
      <w:lvlJc w:val="left"/>
      <w:pPr>
        <w:tabs>
          <w:tab w:val="num" w:pos="1440"/>
        </w:tabs>
        <w:ind w:left="1440" w:hanging="360"/>
      </w:pPr>
    </w:lvl>
    <w:lvl w:ilvl="2" w:tplc="F4C8372A" w:tentative="1">
      <w:start w:val="1"/>
      <w:numFmt w:val="decimal"/>
      <w:lvlText w:val="%3."/>
      <w:lvlJc w:val="left"/>
      <w:pPr>
        <w:tabs>
          <w:tab w:val="num" w:pos="2160"/>
        </w:tabs>
        <w:ind w:left="2160" w:hanging="360"/>
      </w:pPr>
    </w:lvl>
    <w:lvl w:ilvl="3" w:tplc="93824666" w:tentative="1">
      <w:start w:val="1"/>
      <w:numFmt w:val="decimal"/>
      <w:lvlText w:val="%4."/>
      <w:lvlJc w:val="left"/>
      <w:pPr>
        <w:tabs>
          <w:tab w:val="num" w:pos="2880"/>
        </w:tabs>
        <w:ind w:left="2880" w:hanging="360"/>
      </w:pPr>
    </w:lvl>
    <w:lvl w:ilvl="4" w:tplc="363630C4" w:tentative="1">
      <w:start w:val="1"/>
      <w:numFmt w:val="decimal"/>
      <w:lvlText w:val="%5."/>
      <w:lvlJc w:val="left"/>
      <w:pPr>
        <w:tabs>
          <w:tab w:val="num" w:pos="3600"/>
        </w:tabs>
        <w:ind w:left="3600" w:hanging="360"/>
      </w:pPr>
    </w:lvl>
    <w:lvl w:ilvl="5" w:tplc="2DC40008" w:tentative="1">
      <w:start w:val="1"/>
      <w:numFmt w:val="decimal"/>
      <w:lvlText w:val="%6."/>
      <w:lvlJc w:val="left"/>
      <w:pPr>
        <w:tabs>
          <w:tab w:val="num" w:pos="4320"/>
        </w:tabs>
        <w:ind w:left="4320" w:hanging="360"/>
      </w:pPr>
    </w:lvl>
    <w:lvl w:ilvl="6" w:tplc="7ED097F6" w:tentative="1">
      <w:start w:val="1"/>
      <w:numFmt w:val="decimal"/>
      <w:lvlText w:val="%7."/>
      <w:lvlJc w:val="left"/>
      <w:pPr>
        <w:tabs>
          <w:tab w:val="num" w:pos="5040"/>
        </w:tabs>
        <w:ind w:left="5040" w:hanging="360"/>
      </w:pPr>
    </w:lvl>
    <w:lvl w:ilvl="7" w:tplc="67F6BFD8" w:tentative="1">
      <w:start w:val="1"/>
      <w:numFmt w:val="decimal"/>
      <w:lvlText w:val="%8."/>
      <w:lvlJc w:val="left"/>
      <w:pPr>
        <w:tabs>
          <w:tab w:val="num" w:pos="5760"/>
        </w:tabs>
        <w:ind w:left="5760" w:hanging="360"/>
      </w:pPr>
    </w:lvl>
    <w:lvl w:ilvl="8" w:tplc="6F8CE68A" w:tentative="1">
      <w:start w:val="1"/>
      <w:numFmt w:val="decimal"/>
      <w:lvlText w:val="%9."/>
      <w:lvlJc w:val="left"/>
      <w:pPr>
        <w:tabs>
          <w:tab w:val="num" w:pos="6480"/>
        </w:tabs>
        <w:ind w:left="6480" w:hanging="360"/>
      </w:pPr>
    </w:lvl>
  </w:abstractNum>
  <w:abstractNum w:abstractNumId="17" w15:restartNumberingAfterBreak="0">
    <w:nsid w:val="311C4562"/>
    <w:multiLevelType w:val="hybridMultilevel"/>
    <w:tmpl w:val="24009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42408F0"/>
    <w:multiLevelType w:val="hybridMultilevel"/>
    <w:tmpl w:val="40D6D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B13763"/>
    <w:multiLevelType w:val="hybridMultilevel"/>
    <w:tmpl w:val="AB6021B0"/>
    <w:lvl w:ilvl="0" w:tplc="D34A3EC4">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461F36"/>
    <w:multiLevelType w:val="multilevel"/>
    <w:tmpl w:val="4746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763AAA"/>
    <w:multiLevelType w:val="hybridMultilevel"/>
    <w:tmpl w:val="93CC98FE"/>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2" w15:restartNumberingAfterBreak="0">
    <w:nsid w:val="57BC03DC"/>
    <w:multiLevelType w:val="hybridMultilevel"/>
    <w:tmpl w:val="720248F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77346"/>
    <w:multiLevelType w:val="hybridMultilevel"/>
    <w:tmpl w:val="2F08B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211E10"/>
    <w:multiLevelType w:val="hybridMultilevel"/>
    <w:tmpl w:val="13F4C644"/>
    <w:lvl w:ilvl="0" w:tplc="F92A791A">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442BFF"/>
    <w:multiLevelType w:val="hybridMultilevel"/>
    <w:tmpl w:val="10444010"/>
    <w:lvl w:ilvl="0" w:tplc="0415000F">
      <w:start w:val="1"/>
      <w:numFmt w:val="decimal"/>
      <w:lvlText w:val="%1."/>
      <w:lvlJc w:val="left"/>
      <w:pPr>
        <w:ind w:left="677" w:hanging="360"/>
      </w:p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6" w15:restartNumberingAfterBreak="0">
    <w:nsid w:val="6A074BD6"/>
    <w:multiLevelType w:val="hybridMultilevel"/>
    <w:tmpl w:val="805481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0613ED"/>
    <w:multiLevelType w:val="hybridMultilevel"/>
    <w:tmpl w:val="6C7C38EC"/>
    <w:lvl w:ilvl="0" w:tplc="04150001">
      <w:start w:val="1"/>
      <w:numFmt w:val="bullet"/>
      <w:lvlText w:val=""/>
      <w:lvlJc w:val="left"/>
      <w:pPr>
        <w:tabs>
          <w:tab w:val="num" w:pos="774"/>
        </w:tabs>
        <w:ind w:left="774" w:hanging="360"/>
      </w:pPr>
      <w:rPr>
        <w:rFonts w:ascii="Symbol" w:hAnsi="Symbol" w:hint="default"/>
      </w:rPr>
    </w:lvl>
    <w:lvl w:ilvl="1" w:tplc="04150003" w:tentative="1">
      <w:start w:val="1"/>
      <w:numFmt w:val="bullet"/>
      <w:lvlText w:val="o"/>
      <w:lvlJc w:val="left"/>
      <w:pPr>
        <w:tabs>
          <w:tab w:val="num" w:pos="1494"/>
        </w:tabs>
        <w:ind w:left="1494" w:hanging="360"/>
      </w:pPr>
      <w:rPr>
        <w:rFonts w:ascii="Courier New" w:hAnsi="Courier New" w:cs="Courier New" w:hint="default"/>
      </w:rPr>
    </w:lvl>
    <w:lvl w:ilvl="2" w:tplc="04150005" w:tentative="1">
      <w:start w:val="1"/>
      <w:numFmt w:val="bullet"/>
      <w:lvlText w:val=""/>
      <w:lvlJc w:val="left"/>
      <w:pPr>
        <w:tabs>
          <w:tab w:val="num" w:pos="2214"/>
        </w:tabs>
        <w:ind w:left="2214" w:hanging="360"/>
      </w:pPr>
      <w:rPr>
        <w:rFonts w:ascii="Wingdings" w:hAnsi="Wingdings" w:hint="default"/>
      </w:rPr>
    </w:lvl>
    <w:lvl w:ilvl="3" w:tplc="04150001" w:tentative="1">
      <w:start w:val="1"/>
      <w:numFmt w:val="bullet"/>
      <w:lvlText w:val=""/>
      <w:lvlJc w:val="left"/>
      <w:pPr>
        <w:tabs>
          <w:tab w:val="num" w:pos="2934"/>
        </w:tabs>
        <w:ind w:left="2934" w:hanging="360"/>
      </w:pPr>
      <w:rPr>
        <w:rFonts w:ascii="Symbol" w:hAnsi="Symbol" w:hint="default"/>
      </w:rPr>
    </w:lvl>
    <w:lvl w:ilvl="4" w:tplc="04150003" w:tentative="1">
      <w:start w:val="1"/>
      <w:numFmt w:val="bullet"/>
      <w:lvlText w:val="o"/>
      <w:lvlJc w:val="left"/>
      <w:pPr>
        <w:tabs>
          <w:tab w:val="num" w:pos="3654"/>
        </w:tabs>
        <w:ind w:left="3654" w:hanging="360"/>
      </w:pPr>
      <w:rPr>
        <w:rFonts w:ascii="Courier New" w:hAnsi="Courier New" w:cs="Courier New" w:hint="default"/>
      </w:rPr>
    </w:lvl>
    <w:lvl w:ilvl="5" w:tplc="04150005" w:tentative="1">
      <w:start w:val="1"/>
      <w:numFmt w:val="bullet"/>
      <w:lvlText w:val=""/>
      <w:lvlJc w:val="left"/>
      <w:pPr>
        <w:tabs>
          <w:tab w:val="num" w:pos="4374"/>
        </w:tabs>
        <w:ind w:left="4374" w:hanging="360"/>
      </w:pPr>
      <w:rPr>
        <w:rFonts w:ascii="Wingdings" w:hAnsi="Wingdings" w:hint="default"/>
      </w:rPr>
    </w:lvl>
    <w:lvl w:ilvl="6" w:tplc="04150001" w:tentative="1">
      <w:start w:val="1"/>
      <w:numFmt w:val="bullet"/>
      <w:lvlText w:val=""/>
      <w:lvlJc w:val="left"/>
      <w:pPr>
        <w:tabs>
          <w:tab w:val="num" w:pos="5094"/>
        </w:tabs>
        <w:ind w:left="5094" w:hanging="360"/>
      </w:pPr>
      <w:rPr>
        <w:rFonts w:ascii="Symbol" w:hAnsi="Symbol" w:hint="default"/>
      </w:rPr>
    </w:lvl>
    <w:lvl w:ilvl="7" w:tplc="04150003" w:tentative="1">
      <w:start w:val="1"/>
      <w:numFmt w:val="bullet"/>
      <w:lvlText w:val="o"/>
      <w:lvlJc w:val="left"/>
      <w:pPr>
        <w:tabs>
          <w:tab w:val="num" w:pos="5814"/>
        </w:tabs>
        <w:ind w:left="5814" w:hanging="360"/>
      </w:pPr>
      <w:rPr>
        <w:rFonts w:ascii="Courier New" w:hAnsi="Courier New" w:cs="Courier New" w:hint="default"/>
      </w:rPr>
    </w:lvl>
    <w:lvl w:ilvl="8" w:tplc="04150005" w:tentative="1">
      <w:start w:val="1"/>
      <w:numFmt w:val="bullet"/>
      <w:lvlText w:val=""/>
      <w:lvlJc w:val="left"/>
      <w:pPr>
        <w:tabs>
          <w:tab w:val="num" w:pos="6534"/>
        </w:tabs>
        <w:ind w:left="6534" w:hanging="360"/>
      </w:pPr>
      <w:rPr>
        <w:rFonts w:ascii="Wingdings" w:hAnsi="Wingdings" w:hint="default"/>
      </w:rPr>
    </w:lvl>
  </w:abstractNum>
  <w:abstractNum w:abstractNumId="28" w15:restartNumberingAfterBreak="0">
    <w:nsid w:val="6CEB3CD8"/>
    <w:multiLevelType w:val="hybridMultilevel"/>
    <w:tmpl w:val="5B2E6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FC18D1"/>
    <w:multiLevelType w:val="multilevel"/>
    <w:tmpl w:val="69BA74F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B332260"/>
    <w:multiLevelType w:val="hybridMultilevel"/>
    <w:tmpl w:val="04047EC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B996574"/>
    <w:multiLevelType w:val="hybridMultilevel"/>
    <w:tmpl w:val="F5FA04EE"/>
    <w:lvl w:ilvl="0" w:tplc="CB6A35F8">
      <w:start w:val="1"/>
      <w:numFmt w:val="decimal"/>
      <w:lvlText w:val="%1)"/>
      <w:lvlJc w:val="left"/>
      <w:pPr>
        <w:ind w:left="317" w:hanging="360"/>
      </w:pPr>
      <w:rPr>
        <w:rFonts w:hint="default"/>
      </w:rPr>
    </w:lvl>
    <w:lvl w:ilvl="1" w:tplc="04150019" w:tentative="1">
      <w:start w:val="1"/>
      <w:numFmt w:val="lowerLetter"/>
      <w:lvlText w:val="%2."/>
      <w:lvlJc w:val="left"/>
      <w:pPr>
        <w:ind w:left="1037" w:hanging="360"/>
      </w:pPr>
    </w:lvl>
    <w:lvl w:ilvl="2" w:tplc="0415001B" w:tentative="1">
      <w:start w:val="1"/>
      <w:numFmt w:val="lowerRoman"/>
      <w:lvlText w:val="%3."/>
      <w:lvlJc w:val="right"/>
      <w:pPr>
        <w:ind w:left="1757" w:hanging="180"/>
      </w:pPr>
    </w:lvl>
    <w:lvl w:ilvl="3" w:tplc="0415000F" w:tentative="1">
      <w:start w:val="1"/>
      <w:numFmt w:val="decimal"/>
      <w:lvlText w:val="%4."/>
      <w:lvlJc w:val="left"/>
      <w:pPr>
        <w:ind w:left="2477" w:hanging="360"/>
      </w:pPr>
    </w:lvl>
    <w:lvl w:ilvl="4" w:tplc="04150019" w:tentative="1">
      <w:start w:val="1"/>
      <w:numFmt w:val="lowerLetter"/>
      <w:lvlText w:val="%5."/>
      <w:lvlJc w:val="left"/>
      <w:pPr>
        <w:ind w:left="3197" w:hanging="360"/>
      </w:pPr>
    </w:lvl>
    <w:lvl w:ilvl="5" w:tplc="0415001B" w:tentative="1">
      <w:start w:val="1"/>
      <w:numFmt w:val="lowerRoman"/>
      <w:lvlText w:val="%6."/>
      <w:lvlJc w:val="right"/>
      <w:pPr>
        <w:ind w:left="3917" w:hanging="180"/>
      </w:pPr>
    </w:lvl>
    <w:lvl w:ilvl="6" w:tplc="0415000F" w:tentative="1">
      <w:start w:val="1"/>
      <w:numFmt w:val="decimal"/>
      <w:lvlText w:val="%7."/>
      <w:lvlJc w:val="left"/>
      <w:pPr>
        <w:ind w:left="4637" w:hanging="360"/>
      </w:pPr>
    </w:lvl>
    <w:lvl w:ilvl="7" w:tplc="04150019" w:tentative="1">
      <w:start w:val="1"/>
      <w:numFmt w:val="lowerLetter"/>
      <w:lvlText w:val="%8."/>
      <w:lvlJc w:val="left"/>
      <w:pPr>
        <w:ind w:left="5357" w:hanging="360"/>
      </w:pPr>
    </w:lvl>
    <w:lvl w:ilvl="8" w:tplc="0415001B" w:tentative="1">
      <w:start w:val="1"/>
      <w:numFmt w:val="lowerRoman"/>
      <w:lvlText w:val="%9."/>
      <w:lvlJc w:val="right"/>
      <w:pPr>
        <w:ind w:left="6077" w:hanging="180"/>
      </w:pPr>
    </w:lvl>
  </w:abstractNum>
  <w:abstractNum w:abstractNumId="32" w15:restartNumberingAfterBreak="0">
    <w:nsid w:val="7C1F0A13"/>
    <w:multiLevelType w:val="hybridMultilevel"/>
    <w:tmpl w:val="6CAEC802"/>
    <w:lvl w:ilvl="0" w:tplc="F92A791A">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num w:numId="1" w16cid:durableId="608465039">
    <w:abstractNumId w:val="20"/>
  </w:num>
  <w:num w:numId="2" w16cid:durableId="88474302">
    <w:abstractNumId w:val="0"/>
  </w:num>
  <w:num w:numId="3" w16cid:durableId="742141663">
    <w:abstractNumId w:val="16"/>
  </w:num>
  <w:num w:numId="4" w16cid:durableId="2058820512">
    <w:abstractNumId w:val="28"/>
  </w:num>
  <w:num w:numId="5" w16cid:durableId="437524000">
    <w:abstractNumId w:val="17"/>
  </w:num>
  <w:num w:numId="6" w16cid:durableId="2046365486">
    <w:abstractNumId w:val="5"/>
  </w:num>
  <w:num w:numId="7" w16cid:durableId="96487493">
    <w:abstractNumId w:val="18"/>
  </w:num>
  <w:num w:numId="8" w16cid:durableId="1847675429">
    <w:abstractNumId w:val="15"/>
  </w:num>
  <w:num w:numId="9" w16cid:durableId="687102210">
    <w:abstractNumId w:val="19"/>
  </w:num>
  <w:num w:numId="10" w16cid:durableId="1832940872">
    <w:abstractNumId w:val="29"/>
  </w:num>
  <w:num w:numId="11" w16cid:durableId="2080663235">
    <w:abstractNumId w:val="1"/>
  </w:num>
  <w:num w:numId="12" w16cid:durableId="1910381809">
    <w:abstractNumId w:val="2"/>
  </w:num>
  <w:num w:numId="13" w16cid:durableId="542788159">
    <w:abstractNumId w:val="3"/>
  </w:num>
  <w:num w:numId="14" w16cid:durableId="1612976208">
    <w:abstractNumId w:val="21"/>
  </w:num>
  <w:num w:numId="15" w16cid:durableId="1487090875">
    <w:abstractNumId w:val="6"/>
  </w:num>
  <w:num w:numId="16" w16cid:durableId="1517621187">
    <w:abstractNumId w:val="24"/>
  </w:num>
  <w:num w:numId="17" w16cid:durableId="1857764168">
    <w:abstractNumId w:val="9"/>
  </w:num>
  <w:num w:numId="18" w16cid:durableId="929775865">
    <w:abstractNumId w:val="32"/>
  </w:num>
  <w:num w:numId="19" w16cid:durableId="265160068">
    <w:abstractNumId w:val="14"/>
  </w:num>
  <w:num w:numId="20" w16cid:durableId="199977964">
    <w:abstractNumId w:val="26"/>
  </w:num>
  <w:num w:numId="21" w16cid:durableId="1535997018">
    <w:abstractNumId w:val="8"/>
  </w:num>
  <w:num w:numId="22" w16cid:durableId="778908866">
    <w:abstractNumId w:val="23"/>
  </w:num>
  <w:num w:numId="23" w16cid:durableId="1998991714">
    <w:abstractNumId w:val="10"/>
  </w:num>
  <w:num w:numId="24" w16cid:durableId="910846947">
    <w:abstractNumId w:val="13"/>
  </w:num>
  <w:num w:numId="25" w16cid:durableId="1635015975">
    <w:abstractNumId w:val="22"/>
  </w:num>
  <w:num w:numId="26" w16cid:durableId="1388991646">
    <w:abstractNumId w:val="27"/>
  </w:num>
  <w:num w:numId="27" w16cid:durableId="1969973986">
    <w:abstractNumId w:val="25"/>
  </w:num>
  <w:num w:numId="28" w16cid:durableId="174610914">
    <w:abstractNumId w:val="31"/>
  </w:num>
  <w:num w:numId="29" w16cid:durableId="1377505341">
    <w:abstractNumId w:val="7"/>
  </w:num>
  <w:num w:numId="30" w16cid:durableId="1776755182">
    <w:abstractNumId w:val="30"/>
  </w:num>
  <w:num w:numId="31" w16cid:durableId="1482581358">
    <w:abstractNumId w:val="12"/>
  </w:num>
  <w:num w:numId="32" w16cid:durableId="2067488587">
    <w:abstractNumId w:val="11"/>
  </w:num>
  <w:num w:numId="33" w16cid:durableId="2862084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C">
    <w15:presenceInfo w15:providerId="None" w15:userId="JC"/>
  </w15:person>
  <w15:person w15:author="Joanna Ciągała">
    <w15:presenceInfo w15:providerId="None" w15:userId="Joanna Ciągał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31EB"/>
    <w:rsid w:val="00027556"/>
    <w:rsid w:val="00073255"/>
    <w:rsid w:val="00082D6A"/>
    <w:rsid w:val="00093DD1"/>
    <w:rsid w:val="001037C4"/>
    <w:rsid w:val="0012154E"/>
    <w:rsid w:val="00124D48"/>
    <w:rsid w:val="00130F72"/>
    <w:rsid w:val="00147B6C"/>
    <w:rsid w:val="0018079A"/>
    <w:rsid w:val="001A6DC8"/>
    <w:rsid w:val="001B07DC"/>
    <w:rsid w:val="001B4A4D"/>
    <w:rsid w:val="001B7B38"/>
    <w:rsid w:val="001F6294"/>
    <w:rsid w:val="00203EBF"/>
    <w:rsid w:val="00206A31"/>
    <w:rsid w:val="0022188D"/>
    <w:rsid w:val="00221C0C"/>
    <w:rsid w:val="00221FE3"/>
    <w:rsid w:val="002320D1"/>
    <w:rsid w:val="00262BB5"/>
    <w:rsid w:val="0027375A"/>
    <w:rsid w:val="002857EC"/>
    <w:rsid w:val="002903AE"/>
    <w:rsid w:val="002A3E81"/>
    <w:rsid w:val="002E4A0B"/>
    <w:rsid w:val="00313521"/>
    <w:rsid w:val="00345E80"/>
    <w:rsid w:val="003C0AB2"/>
    <w:rsid w:val="003D693E"/>
    <w:rsid w:val="003E7EA5"/>
    <w:rsid w:val="00420A9C"/>
    <w:rsid w:val="004626DC"/>
    <w:rsid w:val="00462D9D"/>
    <w:rsid w:val="004649C4"/>
    <w:rsid w:val="004A4DF7"/>
    <w:rsid w:val="004B39A1"/>
    <w:rsid w:val="004E2983"/>
    <w:rsid w:val="004F7447"/>
    <w:rsid w:val="004F75EB"/>
    <w:rsid w:val="00556E9D"/>
    <w:rsid w:val="005827F2"/>
    <w:rsid w:val="005B4AC3"/>
    <w:rsid w:val="005B718A"/>
    <w:rsid w:val="00600D49"/>
    <w:rsid w:val="00606C00"/>
    <w:rsid w:val="00612530"/>
    <w:rsid w:val="00612F69"/>
    <w:rsid w:val="00613BDC"/>
    <w:rsid w:val="006F4976"/>
    <w:rsid w:val="00711CCF"/>
    <w:rsid w:val="00741D34"/>
    <w:rsid w:val="00767F80"/>
    <w:rsid w:val="007831EB"/>
    <w:rsid w:val="00794B9C"/>
    <w:rsid w:val="007C3EA2"/>
    <w:rsid w:val="007E0EF4"/>
    <w:rsid w:val="00813701"/>
    <w:rsid w:val="0085642F"/>
    <w:rsid w:val="00894078"/>
    <w:rsid w:val="008B0350"/>
    <w:rsid w:val="008E44FF"/>
    <w:rsid w:val="00902AC8"/>
    <w:rsid w:val="00921F56"/>
    <w:rsid w:val="00943CEF"/>
    <w:rsid w:val="00974B9F"/>
    <w:rsid w:val="009B0182"/>
    <w:rsid w:val="009B64FF"/>
    <w:rsid w:val="00A04367"/>
    <w:rsid w:val="00A11DC4"/>
    <w:rsid w:val="00A31B77"/>
    <w:rsid w:val="00A50066"/>
    <w:rsid w:val="00A618B8"/>
    <w:rsid w:val="00AA1737"/>
    <w:rsid w:val="00AA4948"/>
    <w:rsid w:val="00AD0180"/>
    <w:rsid w:val="00AD7759"/>
    <w:rsid w:val="00B01C42"/>
    <w:rsid w:val="00B31E75"/>
    <w:rsid w:val="00B70BB8"/>
    <w:rsid w:val="00B933C4"/>
    <w:rsid w:val="00BC2550"/>
    <w:rsid w:val="00BF34A6"/>
    <w:rsid w:val="00C500D5"/>
    <w:rsid w:val="00C5085F"/>
    <w:rsid w:val="00D75BD0"/>
    <w:rsid w:val="00D9044A"/>
    <w:rsid w:val="00D9169A"/>
    <w:rsid w:val="00D964F4"/>
    <w:rsid w:val="00DB35A0"/>
    <w:rsid w:val="00DB44D5"/>
    <w:rsid w:val="00E3512E"/>
    <w:rsid w:val="00E62D37"/>
    <w:rsid w:val="00EC2AD7"/>
    <w:rsid w:val="00F25B41"/>
    <w:rsid w:val="00F30297"/>
    <w:rsid w:val="00F31688"/>
    <w:rsid w:val="00F35A58"/>
    <w:rsid w:val="00F372D5"/>
    <w:rsid w:val="00F43F58"/>
    <w:rsid w:val="00F478D7"/>
    <w:rsid w:val="00FA1D77"/>
    <w:rsid w:val="00FD05D0"/>
    <w:rsid w:val="00FF02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F171D"/>
  <w15:docId w15:val="{036E028E-BBB7-41CF-BA75-6E56355B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31EB"/>
    <w:pPr>
      <w:spacing w:after="160" w:line="259" w:lineRule="auto"/>
    </w:pPr>
    <w:rPr>
      <w:sz w:val="22"/>
      <w:szCs w:val="22"/>
      <w:lang w:eastAsia="en-US"/>
    </w:rPr>
  </w:style>
  <w:style w:type="paragraph" w:styleId="Nagwek1">
    <w:name w:val="heading 1"/>
    <w:basedOn w:val="Normalny"/>
    <w:next w:val="Normalny"/>
    <w:link w:val="Nagwek1Znak"/>
    <w:uiPriority w:val="9"/>
    <w:qFormat/>
    <w:rsid w:val="007831EB"/>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unhideWhenUsed/>
    <w:qFormat/>
    <w:rsid w:val="007831EB"/>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qFormat/>
    <w:rsid w:val="007831EB"/>
    <w:pPr>
      <w:keepNext/>
      <w:keepLines/>
      <w:spacing w:before="200" w:after="0" w:line="276" w:lineRule="auto"/>
      <w:outlineLvl w:val="2"/>
    </w:pPr>
    <w:rPr>
      <w:rFonts w:ascii="Cambria" w:eastAsia="Times New Roman" w:hAnsi="Cambria"/>
      <w:b/>
      <w:bCs/>
      <w:color w:val="4F81BD"/>
      <w:sz w:val="20"/>
      <w:szCs w:val="20"/>
    </w:rPr>
  </w:style>
  <w:style w:type="paragraph" w:styleId="Nagwek4">
    <w:name w:val="heading 4"/>
    <w:basedOn w:val="Normalny"/>
    <w:next w:val="Normalny"/>
    <w:link w:val="Nagwek4Znak"/>
    <w:uiPriority w:val="9"/>
    <w:qFormat/>
    <w:rsid w:val="007831EB"/>
    <w:pPr>
      <w:keepNext/>
      <w:keepLines/>
      <w:spacing w:before="200" w:after="0" w:line="276" w:lineRule="auto"/>
      <w:outlineLvl w:val="3"/>
    </w:pPr>
    <w:rPr>
      <w:rFonts w:ascii="Cambria" w:eastAsia="Times New Roman" w:hAnsi="Cambria"/>
      <w:b/>
      <w:bCs/>
      <w:i/>
      <w:iCs/>
      <w:color w:val="4F81BD"/>
      <w:sz w:val="20"/>
      <w:szCs w:val="20"/>
    </w:rPr>
  </w:style>
  <w:style w:type="paragraph" w:styleId="Nagwek5">
    <w:name w:val="heading 5"/>
    <w:basedOn w:val="Normalny"/>
    <w:next w:val="Normalny"/>
    <w:link w:val="Nagwek5Znak"/>
    <w:uiPriority w:val="9"/>
    <w:unhideWhenUsed/>
    <w:qFormat/>
    <w:rsid w:val="007831EB"/>
    <w:p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7831EB"/>
    <w:rPr>
      <w:rFonts w:ascii="Cambria" w:eastAsia="Times New Roman" w:hAnsi="Cambria" w:cs="Times New Roman"/>
      <w:b/>
      <w:bCs/>
      <w:kern w:val="32"/>
      <w:sz w:val="32"/>
      <w:szCs w:val="32"/>
    </w:rPr>
  </w:style>
  <w:style w:type="character" w:customStyle="1" w:styleId="Nagwek2Znak">
    <w:name w:val="Nagłówek 2 Znak"/>
    <w:link w:val="Nagwek2"/>
    <w:uiPriority w:val="9"/>
    <w:rsid w:val="007831EB"/>
    <w:rPr>
      <w:rFonts w:ascii="Cambria" w:eastAsia="Times New Roman" w:hAnsi="Cambria" w:cs="Times New Roman"/>
      <w:b/>
      <w:bCs/>
      <w:i/>
      <w:iCs/>
      <w:sz w:val="28"/>
      <w:szCs w:val="28"/>
    </w:rPr>
  </w:style>
  <w:style w:type="character" w:customStyle="1" w:styleId="Nagwek3Znak">
    <w:name w:val="Nagłówek 3 Znak"/>
    <w:link w:val="Nagwek3"/>
    <w:uiPriority w:val="9"/>
    <w:rsid w:val="007831EB"/>
    <w:rPr>
      <w:rFonts w:ascii="Cambria" w:eastAsia="Times New Roman" w:hAnsi="Cambria" w:cs="Times New Roman"/>
      <w:b/>
      <w:bCs/>
      <w:color w:val="4F81BD"/>
      <w:sz w:val="20"/>
      <w:szCs w:val="20"/>
    </w:rPr>
  </w:style>
  <w:style w:type="character" w:customStyle="1" w:styleId="Nagwek4Znak">
    <w:name w:val="Nagłówek 4 Znak"/>
    <w:link w:val="Nagwek4"/>
    <w:uiPriority w:val="9"/>
    <w:rsid w:val="007831EB"/>
    <w:rPr>
      <w:rFonts w:ascii="Cambria" w:eastAsia="Times New Roman" w:hAnsi="Cambria" w:cs="Times New Roman"/>
      <w:b/>
      <w:bCs/>
      <w:i/>
      <w:iCs/>
      <w:color w:val="4F81BD"/>
      <w:sz w:val="20"/>
      <w:szCs w:val="20"/>
    </w:rPr>
  </w:style>
  <w:style w:type="character" w:customStyle="1" w:styleId="Nagwek5Znak">
    <w:name w:val="Nagłówek 5 Znak"/>
    <w:link w:val="Nagwek5"/>
    <w:uiPriority w:val="9"/>
    <w:rsid w:val="007831EB"/>
    <w:rPr>
      <w:rFonts w:ascii="Calibri" w:eastAsia="Times New Roman" w:hAnsi="Calibri" w:cs="Times New Roman"/>
      <w:b/>
      <w:bCs/>
      <w:i/>
      <w:iCs/>
      <w:sz w:val="26"/>
      <w:szCs w:val="26"/>
    </w:rPr>
  </w:style>
  <w:style w:type="paragraph" w:styleId="Akapitzlist">
    <w:name w:val="List Paragraph"/>
    <w:basedOn w:val="Normalny"/>
    <w:uiPriority w:val="34"/>
    <w:qFormat/>
    <w:rsid w:val="007831EB"/>
    <w:pPr>
      <w:ind w:left="720"/>
      <w:contextualSpacing/>
    </w:pPr>
  </w:style>
  <w:style w:type="paragraph" w:customStyle="1" w:styleId="Default">
    <w:name w:val="Default"/>
    <w:rsid w:val="007831EB"/>
    <w:pPr>
      <w:autoSpaceDE w:val="0"/>
      <w:autoSpaceDN w:val="0"/>
      <w:adjustRightInd w:val="0"/>
    </w:pPr>
    <w:rPr>
      <w:rFonts w:ascii="KTQQU U+ Myriad Pro" w:hAnsi="KTQQU U+ Myriad Pro" w:cs="KTQQU U+ Myriad Pro"/>
      <w:color w:val="000000"/>
      <w:sz w:val="24"/>
      <w:szCs w:val="24"/>
      <w:lang w:eastAsia="en-US"/>
    </w:rPr>
  </w:style>
  <w:style w:type="paragraph" w:customStyle="1" w:styleId="Pa6">
    <w:name w:val="Pa6"/>
    <w:basedOn w:val="Default"/>
    <w:next w:val="Default"/>
    <w:uiPriority w:val="99"/>
    <w:rsid w:val="007831EB"/>
    <w:pPr>
      <w:spacing w:line="241" w:lineRule="atLeast"/>
    </w:pPr>
    <w:rPr>
      <w:rFonts w:cs="Times New Roman"/>
      <w:color w:val="auto"/>
    </w:rPr>
  </w:style>
  <w:style w:type="paragraph" w:customStyle="1" w:styleId="Pa7">
    <w:name w:val="Pa7"/>
    <w:basedOn w:val="Default"/>
    <w:next w:val="Default"/>
    <w:uiPriority w:val="99"/>
    <w:rsid w:val="007831EB"/>
    <w:pPr>
      <w:spacing w:line="241" w:lineRule="atLeast"/>
    </w:pPr>
    <w:rPr>
      <w:rFonts w:cs="Times New Roman"/>
      <w:color w:val="auto"/>
    </w:rPr>
  </w:style>
  <w:style w:type="paragraph" w:customStyle="1" w:styleId="Pa22">
    <w:name w:val="Pa22"/>
    <w:basedOn w:val="Default"/>
    <w:next w:val="Default"/>
    <w:uiPriority w:val="99"/>
    <w:rsid w:val="007831EB"/>
    <w:pPr>
      <w:spacing w:line="261" w:lineRule="atLeast"/>
    </w:pPr>
    <w:rPr>
      <w:rFonts w:cs="Times New Roman"/>
      <w:color w:val="auto"/>
    </w:rPr>
  </w:style>
  <w:style w:type="paragraph" w:customStyle="1" w:styleId="Pa8">
    <w:name w:val="Pa8"/>
    <w:basedOn w:val="Default"/>
    <w:next w:val="Default"/>
    <w:rsid w:val="007831EB"/>
    <w:pPr>
      <w:spacing w:line="241" w:lineRule="atLeast"/>
    </w:pPr>
    <w:rPr>
      <w:rFonts w:cs="Times New Roman"/>
      <w:color w:val="auto"/>
    </w:rPr>
  </w:style>
  <w:style w:type="character" w:customStyle="1" w:styleId="A8">
    <w:name w:val="A8"/>
    <w:uiPriority w:val="99"/>
    <w:rsid w:val="007831EB"/>
    <w:rPr>
      <w:rFonts w:cs="KTQQU U+ Myriad Pro"/>
      <w:color w:val="000000"/>
      <w:sz w:val="14"/>
      <w:szCs w:val="14"/>
    </w:rPr>
  </w:style>
  <w:style w:type="paragraph" w:customStyle="1" w:styleId="Pa9">
    <w:name w:val="Pa9"/>
    <w:basedOn w:val="Default"/>
    <w:next w:val="Default"/>
    <w:uiPriority w:val="99"/>
    <w:rsid w:val="007831EB"/>
    <w:pPr>
      <w:spacing w:line="241" w:lineRule="atLeast"/>
    </w:pPr>
    <w:rPr>
      <w:rFonts w:cs="Times New Roman"/>
      <w:color w:val="auto"/>
    </w:rPr>
  </w:style>
  <w:style w:type="character" w:customStyle="1" w:styleId="A6">
    <w:name w:val="A6"/>
    <w:uiPriority w:val="99"/>
    <w:rsid w:val="007831EB"/>
    <w:rPr>
      <w:rFonts w:cs="KTQQU U+ Myriad Pro"/>
      <w:b/>
      <w:bCs/>
      <w:color w:val="000000"/>
      <w:sz w:val="20"/>
      <w:szCs w:val="20"/>
    </w:rPr>
  </w:style>
  <w:style w:type="character" w:customStyle="1" w:styleId="A9">
    <w:name w:val="A9"/>
    <w:uiPriority w:val="99"/>
    <w:rsid w:val="007831EB"/>
    <w:rPr>
      <w:rFonts w:cs="KTQQU U+ Myriad Pro"/>
      <w:color w:val="000000"/>
      <w:sz w:val="11"/>
      <w:szCs w:val="11"/>
    </w:rPr>
  </w:style>
  <w:style w:type="paragraph" w:styleId="NormalnyWeb">
    <w:name w:val="Normal (Web)"/>
    <w:basedOn w:val="Normalny"/>
    <w:uiPriority w:val="99"/>
    <w:unhideWhenUsed/>
    <w:rsid w:val="007831EB"/>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uiPriority w:val="99"/>
    <w:unhideWhenUsed/>
    <w:rsid w:val="007831EB"/>
    <w:rPr>
      <w:color w:val="0563C1"/>
      <w:u w:val="single"/>
    </w:rPr>
  </w:style>
  <w:style w:type="paragraph" w:styleId="Tekstprzypisudolnego">
    <w:name w:val="footnote text"/>
    <w:aliases w:val="Footnote Text1,Podrozdział,Footnote,Podrozdzia3, Znak3 Znak,Tekst przypisu dolnego Znak Znak,Podrozdział Znak Znak Znak, Znak1 Znak,Tekst przypisu dolnego Znak1 Znak,Podrozdział Znak Znak1 Znak, Znak1 Znak1 Znak, Znak1 Znak2,Znak"/>
    <w:basedOn w:val="Normalny"/>
    <w:link w:val="TekstprzypisudolnegoZnak"/>
    <w:uiPriority w:val="99"/>
    <w:unhideWhenUsed/>
    <w:qFormat/>
    <w:rsid w:val="007831EB"/>
    <w:pPr>
      <w:spacing w:after="0" w:line="240" w:lineRule="auto"/>
    </w:pPr>
    <w:rPr>
      <w:sz w:val="20"/>
      <w:szCs w:val="20"/>
    </w:rPr>
  </w:style>
  <w:style w:type="character" w:customStyle="1" w:styleId="TekstprzypisudolnegoZnak">
    <w:name w:val="Tekst przypisu dolnego Znak"/>
    <w:aliases w:val="Footnote Text1 Znak,Podrozdział Znak,Footnote Znak,Podrozdzia3 Znak, Znak3 Znak Znak,Tekst przypisu dolnego Znak Znak Znak,Podrozdział Znak Znak Znak Znak, Znak1 Znak Znak,Tekst przypisu dolnego Znak1 Znak Znak,Znak Znak"/>
    <w:link w:val="Tekstprzypisudolnego"/>
    <w:uiPriority w:val="99"/>
    <w:rsid w:val="007831EB"/>
    <w:rPr>
      <w:rFonts w:ascii="Calibri" w:eastAsia="Calibri" w:hAnsi="Calibri" w:cs="Times New Roman"/>
      <w:sz w:val="20"/>
      <w:szCs w:val="20"/>
    </w:rPr>
  </w:style>
  <w:style w:type="character" w:styleId="Odwoanieprzypisudolnego">
    <w:name w:val="footnote reference"/>
    <w:aliases w:val="Footnote Reference Number,Odwołanie przypisu"/>
    <w:uiPriority w:val="99"/>
    <w:unhideWhenUsed/>
    <w:rsid w:val="007831EB"/>
    <w:rPr>
      <w:vertAlign w:val="superscript"/>
    </w:rPr>
  </w:style>
  <w:style w:type="character" w:styleId="Pogrubienie">
    <w:name w:val="Strong"/>
    <w:uiPriority w:val="22"/>
    <w:qFormat/>
    <w:rsid w:val="007831EB"/>
    <w:rPr>
      <w:b/>
      <w:bCs/>
    </w:rPr>
  </w:style>
  <w:style w:type="paragraph" w:styleId="Nagwek">
    <w:name w:val="header"/>
    <w:basedOn w:val="Normalny"/>
    <w:link w:val="NagwekZnak"/>
    <w:uiPriority w:val="99"/>
    <w:unhideWhenUsed/>
    <w:rsid w:val="007831EB"/>
    <w:pPr>
      <w:tabs>
        <w:tab w:val="center" w:pos="4536"/>
        <w:tab w:val="right" w:pos="9072"/>
      </w:tabs>
      <w:spacing w:after="0" w:line="240" w:lineRule="auto"/>
    </w:pPr>
  </w:style>
  <w:style w:type="character" w:customStyle="1" w:styleId="NagwekZnak">
    <w:name w:val="Nagłówek Znak"/>
    <w:link w:val="Nagwek"/>
    <w:uiPriority w:val="99"/>
    <w:rsid w:val="007831EB"/>
    <w:rPr>
      <w:rFonts w:ascii="Calibri" w:eastAsia="Calibri" w:hAnsi="Calibri" w:cs="Times New Roman"/>
    </w:rPr>
  </w:style>
  <w:style w:type="paragraph" w:styleId="Stopka">
    <w:name w:val="footer"/>
    <w:basedOn w:val="Normalny"/>
    <w:link w:val="StopkaZnak"/>
    <w:uiPriority w:val="99"/>
    <w:unhideWhenUsed/>
    <w:rsid w:val="007831EB"/>
    <w:pPr>
      <w:tabs>
        <w:tab w:val="center" w:pos="4536"/>
        <w:tab w:val="right" w:pos="9072"/>
      </w:tabs>
      <w:spacing w:after="0" w:line="240" w:lineRule="auto"/>
    </w:pPr>
  </w:style>
  <w:style w:type="character" w:customStyle="1" w:styleId="StopkaZnak">
    <w:name w:val="Stopka Znak"/>
    <w:link w:val="Stopka"/>
    <w:uiPriority w:val="99"/>
    <w:rsid w:val="007831EB"/>
    <w:rPr>
      <w:rFonts w:ascii="Calibri" w:eastAsia="Calibri" w:hAnsi="Calibri" w:cs="Times New Roman"/>
    </w:rPr>
  </w:style>
  <w:style w:type="character" w:customStyle="1" w:styleId="apple-converted-space">
    <w:name w:val="apple-converted-space"/>
    <w:basedOn w:val="Domylnaczcionkaakapitu"/>
    <w:rsid w:val="007831EB"/>
  </w:style>
  <w:style w:type="paragraph" w:styleId="Listapunktowana">
    <w:name w:val="List Bullet"/>
    <w:basedOn w:val="Normalny"/>
    <w:uiPriority w:val="99"/>
    <w:unhideWhenUsed/>
    <w:rsid w:val="007831EB"/>
    <w:pPr>
      <w:numPr>
        <w:numId w:val="2"/>
      </w:numPr>
      <w:spacing w:after="200" w:line="276" w:lineRule="auto"/>
      <w:contextualSpacing/>
    </w:pPr>
  </w:style>
  <w:style w:type="paragraph" w:styleId="Tekstprzypisukocowego">
    <w:name w:val="endnote text"/>
    <w:basedOn w:val="Normalny"/>
    <w:link w:val="TekstprzypisukocowegoZnak"/>
    <w:unhideWhenUsed/>
    <w:rsid w:val="007831EB"/>
    <w:pPr>
      <w:spacing w:after="0" w:line="240" w:lineRule="auto"/>
    </w:pPr>
    <w:rPr>
      <w:sz w:val="20"/>
      <w:szCs w:val="20"/>
    </w:rPr>
  </w:style>
  <w:style w:type="character" w:customStyle="1" w:styleId="TekstprzypisukocowegoZnak">
    <w:name w:val="Tekst przypisu końcowego Znak"/>
    <w:link w:val="Tekstprzypisukocowego"/>
    <w:rsid w:val="007831EB"/>
    <w:rPr>
      <w:rFonts w:ascii="Calibri" w:eastAsia="Calibri" w:hAnsi="Calibri" w:cs="Times New Roman"/>
      <w:sz w:val="20"/>
      <w:szCs w:val="20"/>
    </w:rPr>
  </w:style>
  <w:style w:type="character" w:styleId="Odwoaniedokomentarza">
    <w:name w:val="annotation reference"/>
    <w:unhideWhenUsed/>
    <w:rsid w:val="007831EB"/>
    <w:rPr>
      <w:sz w:val="16"/>
      <w:szCs w:val="16"/>
    </w:rPr>
  </w:style>
  <w:style w:type="paragraph" w:styleId="Tekstkomentarza">
    <w:name w:val="annotation text"/>
    <w:basedOn w:val="Normalny"/>
    <w:link w:val="TekstkomentarzaZnak"/>
    <w:unhideWhenUsed/>
    <w:rsid w:val="007831EB"/>
    <w:rPr>
      <w:sz w:val="20"/>
      <w:szCs w:val="20"/>
    </w:rPr>
  </w:style>
  <w:style w:type="character" w:customStyle="1" w:styleId="TekstkomentarzaZnak">
    <w:name w:val="Tekst komentarza Znak"/>
    <w:link w:val="Tekstkomentarza"/>
    <w:rsid w:val="007831EB"/>
    <w:rPr>
      <w:rFonts w:ascii="Calibri" w:eastAsia="Calibri" w:hAnsi="Calibri" w:cs="Times New Roman"/>
      <w:sz w:val="20"/>
      <w:szCs w:val="20"/>
    </w:rPr>
  </w:style>
  <w:style w:type="paragraph" w:styleId="Tematkomentarza">
    <w:name w:val="annotation subject"/>
    <w:basedOn w:val="Tekstkomentarza"/>
    <w:next w:val="Tekstkomentarza"/>
    <w:link w:val="TematkomentarzaZnak"/>
    <w:unhideWhenUsed/>
    <w:rsid w:val="007831EB"/>
    <w:rPr>
      <w:b/>
      <w:bCs/>
    </w:rPr>
  </w:style>
  <w:style w:type="character" w:customStyle="1" w:styleId="TematkomentarzaZnak">
    <w:name w:val="Temat komentarza Znak"/>
    <w:link w:val="Tematkomentarza"/>
    <w:rsid w:val="007831EB"/>
    <w:rPr>
      <w:rFonts w:ascii="Calibri" w:eastAsia="Calibri" w:hAnsi="Calibri" w:cs="Times New Roman"/>
      <w:b/>
      <w:bCs/>
      <w:sz w:val="20"/>
      <w:szCs w:val="20"/>
    </w:rPr>
  </w:style>
  <w:style w:type="paragraph" w:styleId="Tekstdymka">
    <w:name w:val="Balloon Text"/>
    <w:basedOn w:val="Normalny"/>
    <w:link w:val="TekstdymkaZnak"/>
    <w:unhideWhenUsed/>
    <w:rsid w:val="007831EB"/>
    <w:pPr>
      <w:spacing w:after="0" w:line="240" w:lineRule="auto"/>
    </w:pPr>
    <w:rPr>
      <w:rFonts w:ascii="Tahoma" w:hAnsi="Tahoma"/>
      <w:sz w:val="16"/>
      <w:szCs w:val="16"/>
    </w:rPr>
  </w:style>
  <w:style w:type="character" w:customStyle="1" w:styleId="TekstdymkaZnak">
    <w:name w:val="Tekst dymka Znak"/>
    <w:link w:val="Tekstdymka"/>
    <w:rsid w:val="007831EB"/>
    <w:rPr>
      <w:rFonts w:ascii="Tahoma" w:eastAsia="Calibri" w:hAnsi="Tahoma" w:cs="Times New Roman"/>
      <w:sz w:val="16"/>
      <w:szCs w:val="16"/>
    </w:rPr>
  </w:style>
  <w:style w:type="paragraph" w:styleId="Legenda">
    <w:name w:val="caption"/>
    <w:basedOn w:val="Normalny"/>
    <w:next w:val="Normalny"/>
    <w:uiPriority w:val="35"/>
    <w:unhideWhenUsed/>
    <w:qFormat/>
    <w:rsid w:val="007831EB"/>
    <w:pPr>
      <w:spacing w:after="0" w:line="240" w:lineRule="auto"/>
    </w:pPr>
    <w:rPr>
      <w:rFonts w:ascii="Times New Roman" w:eastAsia="Times New Roman" w:hAnsi="Times New Roman"/>
      <w:b/>
      <w:bCs/>
      <w:sz w:val="20"/>
      <w:szCs w:val="18"/>
      <w:lang w:val="en-US" w:bidi="en-US"/>
    </w:rPr>
  </w:style>
  <w:style w:type="table" w:customStyle="1" w:styleId="dopracydr">
    <w:name w:val="do pracy dr"/>
    <w:basedOn w:val="Standardowy"/>
    <w:uiPriority w:val="99"/>
    <w:qFormat/>
    <w:rsid w:val="007831EB"/>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field">
    <w:name w:val="field"/>
    <w:basedOn w:val="Domylnaczcionkaakapitu"/>
    <w:rsid w:val="007831EB"/>
  </w:style>
  <w:style w:type="paragraph" w:styleId="Bezodstpw">
    <w:name w:val="No Spacing"/>
    <w:link w:val="BezodstpwZnak"/>
    <w:uiPriority w:val="1"/>
    <w:qFormat/>
    <w:rsid w:val="007831EB"/>
    <w:rPr>
      <w:sz w:val="22"/>
      <w:szCs w:val="22"/>
      <w:lang w:eastAsia="en-US"/>
    </w:rPr>
  </w:style>
  <w:style w:type="character" w:customStyle="1" w:styleId="BezodstpwZnak">
    <w:name w:val="Bez odstępów Znak"/>
    <w:link w:val="Bezodstpw"/>
    <w:uiPriority w:val="1"/>
    <w:rsid w:val="007831EB"/>
    <w:rPr>
      <w:rFonts w:ascii="Calibri" w:eastAsia="Calibri" w:hAnsi="Calibri" w:cs="Times New Roman"/>
    </w:rPr>
  </w:style>
  <w:style w:type="character" w:customStyle="1" w:styleId="st">
    <w:name w:val="st"/>
    <w:basedOn w:val="Domylnaczcionkaakapitu"/>
    <w:rsid w:val="007831EB"/>
  </w:style>
  <w:style w:type="character" w:styleId="Uwydatnienie">
    <w:name w:val="Emphasis"/>
    <w:uiPriority w:val="20"/>
    <w:qFormat/>
    <w:rsid w:val="007831EB"/>
    <w:rPr>
      <w:i/>
      <w:iCs/>
    </w:rPr>
  </w:style>
  <w:style w:type="character" w:customStyle="1" w:styleId="A0">
    <w:name w:val="A0"/>
    <w:rsid w:val="007831EB"/>
    <w:rPr>
      <w:rFonts w:cs="Palatino Linotype"/>
      <w:color w:val="000000"/>
      <w:sz w:val="20"/>
      <w:szCs w:val="20"/>
    </w:rPr>
  </w:style>
  <w:style w:type="character" w:customStyle="1" w:styleId="hps">
    <w:name w:val="hps"/>
    <w:basedOn w:val="Domylnaczcionkaakapitu"/>
    <w:rsid w:val="007831EB"/>
  </w:style>
  <w:style w:type="table" w:styleId="Tabela-Siatka">
    <w:name w:val="Table Grid"/>
    <w:basedOn w:val="Standardowy"/>
    <w:rsid w:val="00783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unhideWhenUsed/>
    <w:rsid w:val="007831EB"/>
    <w:rPr>
      <w:vertAlign w:val="superscript"/>
    </w:rPr>
  </w:style>
  <w:style w:type="paragraph" w:styleId="Tekstpodstawowy">
    <w:name w:val="Body Text"/>
    <w:basedOn w:val="Normalny"/>
    <w:link w:val="TekstpodstawowyZnak"/>
    <w:rsid w:val="007831EB"/>
    <w:pPr>
      <w:widowControl w:val="0"/>
      <w:suppressAutoHyphens/>
      <w:spacing w:after="120" w:line="240" w:lineRule="auto"/>
    </w:pPr>
    <w:rPr>
      <w:rFonts w:ascii="Arial" w:eastAsia="SimSun" w:hAnsi="Arial" w:cs="Tahoma"/>
      <w:kern w:val="1"/>
      <w:sz w:val="24"/>
      <w:szCs w:val="24"/>
      <w:lang w:eastAsia="hi-IN" w:bidi="hi-IN"/>
    </w:rPr>
  </w:style>
  <w:style w:type="character" w:customStyle="1" w:styleId="TekstpodstawowyZnak">
    <w:name w:val="Tekst podstawowy Znak"/>
    <w:link w:val="Tekstpodstawowy"/>
    <w:rsid w:val="007831EB"/>
    <w:rPr>
      <w:rFonts w:ascii="Arial" w:eastAsia="SimSun" w:hAnsi="Arial" w:cs="Tahoma"/>
      <w:kern w:val="1"/>
      <w:sz w:val="24"/>
      <w:szCs w:val="24"/>
      <w:lang w:eastAsia="hi-IN" w:bidi="hi-IN"/>
    </w:rPr>
  </w:style>
  <w:style w:type="paragraph" w:styleId="Nagwekspisutreci">
    <w:name w:val="TOC Heading"/>
    <w:basedOn w:val="Nagwek1"/>
    <w:next w:val="Normalny"/>
    <w:uiPriority w:val="39"/>
    <w:qFormat/>
    <w:rsid w:val="007831EB"/>
    <w:pPr>
      <w:keepLines/>
      <w:spacing w:before="480" w:after="0" w:line="276" w:lineRule="auto"/>
      <w:outlineLvl w:val="9"/>
    </w:pPr>
    <w:rPr>
      <w:color w:val="365F91"/>
      <w:kern w:val="0"/>
      <w:sz w:val="28"/>
      <w:szCs w:val="28"/>
    </w:rPr>
  </w:style>
  <w:style w:type="paragraph" w:styleId="Tytu">
    <w:name w:val="Title"/>
    <w:basedOn w:val="Normalny"/>
    <w:next w:val="Normalny"/>
    <w:link w:val="TytuZnak"/>
    <w:uiPriority w:val="10"/>
    <w:qFormat/>
    <w:rsid w:val="007831E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ytuZnak">
    <w:name w:val="Tytuł Znak"/>
    <w:link w:val="Tytu"/>
    <w:uiPriority w:val="10"/>
    <w:rsid w:val="007831EB"/>
    <w:rPr>
      <w:rFonts w:ascii="Cambria" w:eastAsia="Times New Roman" w:hAnsi="Cambria" w:cs="Times New Roman"/>
      <w:color w:val="17365D"/>
      <w:spacing w:val="5"/>
      <w:kern w:val="28"/>
      <w:sz w:val="52"/>
      <w:szCs w:val="52"/>
    </w:rPr>
  </w:style>
  <w:style w:type="paragraph" w:styleId="Spistreci1">
    <w:name w:val="toc 1"/>
    <w:basedOn w:val="Normalny"/>
    <w:next w:val="Normalny"/>
    <w:autoRedefine/>
    <w:uiPriority w:val="39"/>
    <w:unhideWhenUsed/>
    <w:rsid w:val="007831EB"/>
    <w:pPr>
      <w:spacing w:before="360" w:after="360" w:line="276" w:lineRule="auto"/>
    </w:pPr>
    <w:rPr>
      <w:b/>
      <w:bCs/>
      <w:caps/>
      <w:u w:val="single"/>
    </w:rPr>
  </w:style>
  <w:style w:type="paragraph" w:styleId="Spistreci2">
    <w:name w:val="toc 2"/>
    <w:basedOn w:val="Normalny"/>
    <w:next w:val="Normalny"/>
    <w:autoRedefine/>
    <w:uiPriority w:val="39"/>
    <w:unhideWhenUsed/>
    <w:rsid w:val="007831EB"/>
    <w:pPr>
      <w:spacing w:after="0" w:line="276" w:lineRule="auto"/>
    </w:pPr>
    <w:rPr>
      <w:b/>
      <w:bCs/>
      <w:smallCaps/>
    </w:rPr>
  </w:style>
  <w:style w:type="paragraph" w:styleId="Spistreci3">
    <w:name w:val="toc 3"/>
    <w:basedOn w:val="Normalny"/>
    <w:next w:val="Normalny"/>
    <w:autoRedefine/>
    <w:uiPriority w:val="39"/>
    <w:unhideWhenUsed/>
    <w:rsid w:val="007831EB"/>
    <w:pPr>
      <w:spacing w:after="0" w:line="276" w:lineRule="auto"/>
    </w:pPr>
    <w:rPr>
      <w:smallCaps/>
    </w:rPr>
  </w:style>
  <w:style w:type="paragraph" w:styleId="Spistreci4">
    <w:name w:val="toc 4"/>
    <w:basedOn w:val="Normalny"/>
    <w:next w:val="Normalny"/>
    <w:autoRedefine/>
    <w:uiPriority w:val="39"/>
    <w:unhideWhenUsed/>
    <w:rsid w:val="007831EB"/>
    <w:pPr>
      <w:spacing w:after="0" w:line="276" w:lineRule="auto"/>
    </w:pPr>
  </w:style>
  <w:style w:type="paragraph" w:styleId="Spistreci5">
    <w:name w:val="toc 5"/>
    <w:basedOn w:val="Normalny"/>
    <w:next w:val="Normalny"/>
    <w:autoRedefine/>
    <w:uiPriority w:val="39"/>
    <w:unhideWhenUsed/>
    <w:rsid w:val="007831EB"/>
    <w:pPr>
      <w:spacing w:after="0" w:line="276" w:lineRule="auto"/>
    </w:pPr>
  </w:style>
  <w:style w:type="paragraph" w:styleId="Spistreci6">
    <w:name w:val="toc 6"/>
    <w:basedOn w:val="Normalny"/>
    <w:next w:val="Normalny"/>
    <w:autoRedefine/>
    <w:uiPriority w:val="39"/>
    <w:unhideWhenUsed/>
    <w:rsid w:val="007831EB"/>
    <w:pPr>
      <w:spacing w:after="0" w:line="276" w:lineRule="auto"/>
    </w:pPr>
  </w:style>
  <w:style w:type="paragraph" w:styleId="Spistreci7">
    <w:name w:val="toc 7"/>
    <w:basedOn w:val="Normalny"/>
    <w:next w:val="Normalny"/>
    <w:autoRedefine/>
    <w:uiPriority w:val="39"/>
    <w:unhideWhenUsed/>
    <w:rsid w:val="007831EB"/>
    <w:pPr>
      <w:spacing w:after="0" w:line="276" w:lineRule="auto"/>
    </w:pPr>
  </w:style>
  <w:style w:type="paragraph" w:styleId="Spistreci8">
    <w:name w:val="toc 8"/>
    <w:basedOn w:val="Normalny"/>
    <w:next w:val="Normalny"/>
    <w:autoRedefine/>
    <w:uiPriority w:val="39"/>
    <w:unhideWhenUsed/>
    <w:rsid w:val="007831EB"/>
    <w:pPr>
      <w:spacing w:after="0" w:line="276" w:lineRule="auto"/>
    </w:pPr>
  </w:style>
  <w:style w:type="paragraph" w:styleId="Spistreci9">
    <w:name w:val="toc 9"/>
    <w:basedOn w:val="Normalny"/>
    <w:next w:val="Normalny"/>
    <w:autoRedefine/>
    <w:uiPriority w:val="39"/>
    <w:unhideWhenUsed/>
    <w:rsid w:val="007831EB"/>
    <w:pPr>
      <w:spacing w:after="0" w:line="276" w:lineRule="auto"/>
    </w:pPr>
  </w:style>
  <w:style w:type="character" w:customStyle="1" w:styleId="h2">
    <w:name w:val="h2"/>
    <w:basedOn w:val="Domylnaczcionkaakapitu"/>
    <w:rsid w:val="007831EB"/>
  </w:style>
  <w:style w:type="character" w:customStyle="1" w:styleId="ZagicieodgryformularzaZnak">
    <w:name w:val="Zagięcie od góry formularza Znak"/>
    <w:link w:val="Zagicieodgryformularza"/>
    <w:uiPriority w:val="99"/>
    <w:semiHidden/>
    <w:rsid w:val="007831EB"/>
    <w:rPr>
      <w:rFonts w:ascii="Arial" w:eastAsia="Times New Roman" w:hAnsi="Arial"/>
      <w:vanish/>
      <w:sz w:val="16"/>
      <w:szCs w:val="16"/>
    </w:rPr>
  </w:style>
  <w:style w:type="paragraph" w:styleId="Zagicieodgryformularza">
    <w:name w:val="HTML Top of Form"/>
    <w:basedOn w:val="Normalny"/>
    <w:next w:val="Normalny"/>
    <w:link w:val="ZagicieodgryformularzaZnak"/>
    <w:hidden/>
    <w:uiPriority w:val="99"/>
    <w:semiHidden/>
    <w:unhideWhenUsed/>
    <w:rsid w:val="007831EB"/>
    <w:pPr>
      <w:pBdr>
        <w:bottom w:val="single" w:sz="6" w:space="1" w:color="auto"/>
      </w:pBdr>
      <w:spacing w:after="0" w:line="240" w:lineRule="auto"/>
      <w:jc w:val="center"/>
    </w:pPr>
    <w:rPr>
      <w:rFonts w:ascii="Arial" w:eastAsia="Times New Roman" w:hAnsi="Arial"/>
      <w:vanish/>
      <w:sz w:val="16"/>
      <w:szCs w:val="16"/>
    </w:rPr>
  </w:style>
  <w:style w:type="character" w:customStyle="1" w:styleId="ZagicieodgryformularzaZnak1">
    <w:name w:val="Zagięcie od góry formularza Znak1"/>
    <w:uiPriority w:val="99"/>
    <w:semiHidden/>
    <w:rsid w:val="007831EB"/>
    <w:rPr>
      <w:rFonts w:ascii="Arial" w:eastAsia="Calibri" w:hAnsi="Arial" w:cs="Arial"/>
      <w:vanish/>
      <w:sz w:val="16"/>
      <w:szCs w:val="16"/>
    </w:rPr>
  </w:style>
  <w:style w:type="character" w:customStyle="1" w:styleId="ZagicieoddouformularzaZnak">
    <w:name w:val="Zagięcie od dołu formularza Znak"/>
    <w:link w:val="Zagicieoddouformularza"/>
    <w:uiPriority w:val="99"/>
    <w:semiHidden/>
    <w:rsid w:val="007831EB"/>
    <w:rPr>
      <w:rFonts w:ascii="Arial" w:eastAsia="Times New Roman" w:hAnsi="Arial"/>
      <w:vanish/>
      <w:sz w:val="16"/>
      <w:szCs w:val="16"/>
    </w:rPr>
  </w:style>
  <w:style w:type="paragraph" w:styleId="Zagicieoddouformularza">
    <w:name w:val="HTML Bottom of Form"/>
    <w:basedOn w:val="Normalny"/>
    <w:next w:val="Normalny"/>
    <w:link w:val="ZagicieoddouformularzaZnak"/>
    <w:hidden/>
    <w:uiPriority w:val="99"/>
    <w:semiHidden/>
    <w:unhideWhenUsed/>
    <w:rsid w:val="007831EB"/>
    <w:pPr>
      <w:pBdr>
        <w:top w:val="single" w:sz="6" w:space="1" w:color="auto"/>
      </w:pBdr>
      <w:spacing w:after="0" w:line="240" w:lineRule="auto"/>
      <w:jc w:val="center"/>
    </w:pPr>
    <w:rPr>
      <w:rFonts w:ascii="Arial" w:eastAsia="Times New Roman" w:hAnsi="Arial"/>
      <w:vanish/>
      <w:sz w:val="16"/>
      <w:szCs w:val="16"/>
    </w:rPr>
  </w:style>
  <w:style w:type="character" w:customStyle="1" w:styleId="ZagicieoddouformularzaZnak1">
    <w:name w:val="Zagięcie od dołu formularza Znak1"/>
    <w:uiPriority w:val="99"/>
    <w:semiHidden/>
    <w:rsid w:val="007831EB"/>
    <w:rPr>
      <w:rFonts w:ascii="Arial" w:eastAsia="Calibri" w:hAnsi="Arial" w:cs="Arial"/>
      <w:vanish/>
      <w:sz w:val="16"/>
      <w:szCs w:val="16"/>
    </w:rPr>
  </w:style>
  <w:style w:type="paragraph" w:customStyle="1" w:styleId="Akapitzlist1">
    <w:name w:val="Akapit z listą1"/>
    <w:basedOn w:val="Normalny"/>
    <w:rsid w:val="007831EB"/>
    <w:pPr>
      <w:spacing w:after="200" w:line="276" w:lineRule="auto"/>
      <w:ind w:left="720"/>
    </w:pPr>
    <w:rPr>
      <w:rFonts w:eastAsia="Times New Roman"/>
    </w:rPr>
  </w:style>
  <w:style w:type="character" w:customStyle="1" w:styleId="h1">
    <w:name w:val="h1"/>
    <w:basedOn w:val="Domylnaczcionkaakapitu"/>
    <w:rsid w:val="007831EB"/>
  </w:style>
  <w:style w:type="character" w:customStyle="1" w:styleId="wrtext">
    <w:name w:val="wrtext"/>
    <w:basedOn w:val="Domylnaczcionkaakapitu"/>
    <w:rsid w:val="007831EB"/>
  </w:style>
  <w:style w:type="character" w:styleId="HTML-cytat">
    <w:name w:val="HTML Cite"/>
    <w:uiPriority w:val="99"/>
    <w:semiHidden/>
    <w:unhideWhenUsed/>
    <w:rsid w:val="007831EB"/>
    <w:rPr>
      <w:i/>
      <w:iCs/>
    </w:rPr>
  </w:style>
  <w:style w:type="character" w:customStyle="1" w:styleId="shorttext">
    <w:name w:val="short_text"/>
    <w:basedOn w:val="Domylnaczcionkaakapitu"/>
    <w:rsid w:val="007831EB"/>
  </w:style>
  <w:style w:type="paragraph" w:customStyle="1" w:styleId="wazne">
    <w:name w:val="wazne"/>
    <w:basedOn w:val="Normalny"/>
    <w:rsid w:val="007831EB"/>
    <w:pPr>
      <w:spacing w:before="100" w:beforeAutospacing="1" w:after="100" w:afterAutospacing="1" w:line="240" w:lineRule="auto"/>
    </w:pPr>
    <w:rPr>
      <w:rFonts w:ascii="Times New Roman" w:eastAsia="Times New Roman" w:hAnsi="Times New Roman"/>
      <w:sz w:val="24"/>
      <w:szCs w:val="24"/>
      <w:lang w:eastAsia="pl-PL"/>
    </w:rPr>
  </w:style>
  <w:style w:type="character" w:styleId="Numerstrony">
    <w:name w:val="page number"/>
    <w:basedOn w:val="Domylnaczcionkaakapitu"/>
    <w:rsid w:val="007831EB"/>
  </w:style>
  <w:style w:type="table" w:customStyle="1" w:styleId="Kalendarz1">
    <w:name w:val="Kalendarz 1"/>
    <w:basedOn w:val="Standardowy"/>
    <w:uiPriority w:val="99"/>
    <w:qFormat/>
    <w:rsid w:val="007831EB"/>
    <w:rPr>
      <w:rFonts w:eastAsia="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UyteHipercze">
    <w:name w:val="FollowedHyperlink"/>
    <w:uiPriority w:val="99"/>
    <w:semiHidden/>
    <w:unhideWhenUsed/>
    <w:rsid w:val="007831EB"/>
    <w:rPr>
      <w:color w:val="800080"/>
      <w:u w:val="single"/>
    </w:rPr>
  </w:style>
  <w:style w:type="character" w:customStyle="1" w:styleId="Znakiprzypiswdolnych">
    <w:name w:val="Znaki przypisów dolnych"/>
    <w:rsid w:val="007831EB"/>
    <w:rPr>
      <w:vertAlign w:val="superscript"/>
    </w:rPr>
  </w:style>
  <w:style w:type="paragraph" w:customStyle="1" w:styleId="Listapunktowana1">
    <w:name w:val="Lista punktowana1"/>
    <w:basedOn w:val="Normalny"/>
    <w:rsid w:val="007831EB"/>
    <w:pPr>
      <w:tabs>
        <w:tab w:val="num" w:pos="360"/>
      </w:tabs>
      <w:suppressAutoHyphens/>
      <w:spacing w:after="200" w:line="276" w:lineRule="auto"/>
      <w:ind w:left="360" w:hanging="360"/>
      <w:contextualSpacing/>
    </w:pPr>
    <w:rPr>
      <w:lang w:eastAsia="zh-CN"/>
    </w:rPr>
  </w:style>
  <w:style w:type="character" w:customStyle="1" w:styleId="hlfld-contribauthor">
    <w:name w:val="hlfld-contribauthor"/>
    <w:basedOn w:val="Domylnaczcionkaakapitu"/>
    <w:rsid w:val="007831EB"/>
  </w:style>
  <w:style w:type="character" w:customStyle="1" w:styleId="singlehighlightclass">
    <w:name w:val="single_highlight_class"/>
    <w:basedOn w:val="Domylnaczcionkaakapitu"/>
    <w:rsid w:val="007831EB"/>
  </w:style>
  <w:style w:type="character" w:customStyle="1" w:styleId="nlmdegrees">
    <w:name w:val="nlm_degrees"/>
    <w:basedOn w:val="Domylnaczcionkaakapitu"/>
    <w:rsid w:val="007831EB"/>
  </w:style>
  <w:style w:type="paragraph" w:styleId="Poprawka">
    <w:name w:val="Revision"/>
    <w:hidden/>
    <w:uiPriority w:val="99"/>
    <w:semiHidden/>
    <w:rsid w:val="007831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4477">
      <w:bodyDiv w:val="1"/>
      <w:marLeft w:val="0"/>
      <w:marRight w:val="0"/>
      <w:marTop w:val="0"/>
      <w:marBottom w:val="0"/>
      <w:divBdr>
        <w:top w:val="none" w:sz="0" w:space="0" w:color="auto"/>
        <w:left w:val="none" w:sz="0" w:space="0" w:color="auto"/>
        <w:bottom w:val="none" w:sz="0" w:space="0" w:color="auto"/>
        <w:right w:val="none" w:sz="0" w:space="0" w:color="auto"/>
      </w:divBdr>
    </w:div>
    <w:div w:id="152498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A0F3C-4997-484A-80E5-DD1150CF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3892</Words>
  <Characters>23352</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kzimnicka</dc:creator>
  <cp:lastModifiedBy>JC</cp:lastModifiedBy>
  <cp:revision>11</cp:revision>
  <dcterms:created xsi:type="dcterms:W3CDTF">2020-11-02T08:59:00Z</dcterms:created>
  <dcterms:modified xsi:type="dcterms:W3CDTF">2024-03-06T09:48:00Z</dcterms:modified>
</cp:coreProperties>
</file>